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F-1835/2026 vom 18. März 2026</w:t>
      </w:r>
    </w:p>
    <w:p>
      <w:r>
        <w:t>Bundesverwaltungsgericht, 2026-03-18, DE</w:t>
      </w:r>
    </w:p>
    <w:p>
      <w:r>
        <w:rPr>
          <w:b/>
        </w:rPr>
        <w:t xml:space="preserve">Quelle: </w:t>
      </w:r>
      <w:r>
        <w:t>https://mcp.opencaselaw.ch/entscheid/bvger_F-1835_2026</w:t>
      </w:r>
    </w:p>
    <w:p>
      <w:r>
        <w:t>FR: TAF F-1835/2026 du 18 mars 2026</w:t>
      </w:r>
    </w:p>
    <w:p>
      <w:r>
        <w:t>IT: TAF F-1835/2026 del 18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 vorbehaltlich der nachfolgenden Erwägung 1.2 - einzutreten ist (Art. 48 Abs. 1 VwVG, Art. 108 Abs. 3 AsylG und Art. 52 Abs. 1 VwVG).</w:t>
      </w:r>
    </w:p>
    <w:p>
      <w:r>
        <w:rPr>
          <w:b/>
        </w:rPr>
        <w:t>E. 1.2</w:t>
      </w:r>
    </w:p>
    <w:p>
      <w:r>
        <w:t>Soweit der Beschwerdeführer eine vorläufige Aufnahme aufgrund von Unzulässigkeit respektive Unzumutbarkeit des Wegweisungsvollzugs begehrt, nimmt er eine Erweiterung des Streitgegenstands vor, was unzulässig ist (BVGE 2011/9 E. 5). Auf die Beschwerde ist insoweit nicht einzutreten.</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grundsätzlich Kroatien für die Behandlung des Asylgesuchs des Beschwerdeführers zuständig ist, dass das kroatische Asylsystem rechtsprechungsgemäss keine systemischen Mängel aufweist, aufgrund derer die Zuständigkeit gemäss Art. 3 Abs. 2 Dublin-III-VO auf die Schweiz überginge (vgl. Referenzurteil des BVGer E-1488/2020 vom 22. März 2023 E. 9.5; statt vieler Urteile des BVGer F-1326/2026 vom 3. März 2026 E. 2.1 und F-384/2026 vom 21. Januar 2026 E. 2.1), und dass vorliegend keine völkerrechtlichen Vollzugshindernisse ersichtlich sind, welche die Schweiz zu einem Selbsteintritt nach Art. 17 Abs. 1 Dublin-III-VO verpflichten würden. Sie hat in rechtsfehlerfreier Ausübung des ihr nach Art. 17 Abs. 1 Dublin-III-VO und Art. 29a Abs. 3 der Asylverordnung 1 vom 11. August 1999 (AsylV 1, SR 142.311) zukommenden Ermessens von einem Selbsteintritt der Schweiz abgesehen. Demnach ist sie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2.2</w:t>
      </w:r>
    </w:p>
    <w:p>
      <w:r>
        <w:t>Der Beschwerdeführer bringt auf Rechtsmittelebene ausser appellatorischer Kritik betreffend Pushbacks, Gewaltanwendung durch Sicherheitskräfte, Rechtsschutz und das kroatische Asylsystem insgesamt nichts weiter vor, das an der Richtigkeit der angefochtenen Verfügung etwas zu ändern vermöchte. Insbesondere erübrigen sich in Verneinung systemischer Mängel im kroatischen Asylsystem Weiterungen zur geltend gemachten Gefahr einer allfälligen Kettenabschiebung (siehe einlässlich dazu Urteil des EuGH vom 30. November 2023, verbundene Rechtssachen C-228/21, C-254/21, C297/21, C-315/21 und C-328/21, §§ 129-142 und Ziff. 2 des Dispositivs). Es ist daran zu erinnern, dass weder die Dublin-III-VO noch andere völkerrechtliche Bestimmungen den Gesuchstellenden ein Recht einräumen, den für die Durchführung des Asylverfahrens zuständigen Staat selbst frei zu wählen (BVGE 2010/45 E. 8.3).</w:t>
      </w:r>
    </w:p>
    <w:p>
      <w:r>
        <w:rPr>
          <w:b/>
        </w:rPr>
        <w:t>E. 3</w:t>
      </w:r>
    </w:p>
    <w:p>
      <w:r>
        <w:t>Nach dem Gesagten ist die angefochtene Verfügung nicht zu beanstanden (Art. 106 AsylG) und die Beschwerde ist abzuweisen, soweit darauf einzutreten ist. Mit dem vorliegenden Urteil fällt der am 13. März 2026 angeordnete Vollzugsstopp dahin.</w:t>
      </w:r>
    </w:p>
    <w:p>
      <w:r>
        <w:rPr>
          <w:b/>
        </w:rPr>
        <w:t>E. 4</w:t>
      </w:r>
    </w:p>
    <w:p>
      <w:r>
        <w:t>Das Gesuch um Gewährung der unentgeltlichen Prozessführung ist abzuweisen, da die Begehren gemäss den vorstehenden Erwägungen als von vornherein aussichtslos zu bezeichnen waren. Bei diesem Ausgang des Verfahrens sind die Kosten dem unterliegenden Beschwerdeführer aufzuerlegen (Art. 63 Abs. 1 VwVG) und auf insgesamt Fr. 750.- festzusetzen (Art. 1-3 des Reglements vom 21. Februar 2008 über die Kosten und Entschädigungen vor dem Bundesverwaltungsgericht [VGKE, SR173.320.2]).</w:t>
      </w:r>
    </w:p>
    <w:p>
      <w:r>
        <w:rPr>
          <w:b/>
        </w:rPr>
        <w:t>E. 5</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