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F-1803/2021 vom 27. Mai 2022</w:t>
      </w:r>
    </w:p>
    <w:p>
      <w:r>
        <w:t>Bundesverwaltungsgericht, 2022-05-27, DE</w:t>
      </w:r>
    </w:p>
    <w:p>
      <w:r>
        <w:rPr>
          <w:b/>
        </w:rPr>
        <w:t xml:space="preserve">Quelle: </w:t>
      </w:r>
      <w:r>
        <w:t>https://mcp.opencaselaw.ch/entscheid/bvger_F-1803_2021</w:t>
      </w:r>
    </w:p>
    <w:p>
      <w:r>
        <w:t>FR: TAF F-1803/2021 du 27 mai 2022</w:t>
      </w:r>
    </w:p>
    <w:p>
      <w:r>
        <w:t>IT: TAF F-1803/2021 del 27 maggio 2022</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Der Beschwerdeführer ist zur Erhebung des Rechtsmittels legitimiert (Art. 48 Abs. 1 VwVG). Auf die im Übrigen frist- und formgerecht eingereichte Beschwerde ist einzutreten (vgl.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Dem angefochtenen Entscheid liegt das Gesuch eines türkischen Staatsangehörigen um Erteilung eines Visums zu Besuchszwecken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2-5 AIG).</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4.2</w:t>
      </w:r>
    </w:p>
    <w:p>
      <w:r>
        <w:t>Drittstaatsangehörige benötigen zur Einreise in den Schengen-Raum für einen Aufenthalt von höchstens 90 Tagen innerhalb eines Zeitraums von 180 Tagen gültige Reisedokumente, die zum Grenzübertritt berechtigen, und ein Visum, sofern dieses - wie im Falle des aus der Türkei stammenden Gesuchstellers - erforderlich ist (vgl. Anhang I zur Verordnung (EU) 2018/1806, ABl. L 303/39 vom 28.11.2018; zum vollständigen Quellennachweis vgl. Fussnote zu Art. 8 Abs. 1 VEV).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2 AIG; Art. 3 und 8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Caroni et al., Migrationsrecht, 4. Aufl. 2018, S. 141 ff.).</w:t>
      </w:r>
    </w:p>
    <w:p>
      <w:r>
        <w:rPr>
          <w:b/>
        </w:rPr>
        <w:t>E. 4.3</w:t>
      </w:r>
    </w:p>
    <w:p>
      <w:r>
        <w:t>Eine Gefahr für die öffentliche Ordnung im Sinne von Art. 6 Abs. 1 Bst. e SGK ist auch dann anzunehmen, wenn die drittstaatsangehörige Person nicht bereit ist, das Hoheitsgebiet des Schengen-Raums fristgerecht wieder zu verlassen (vgl. Egli/Meyer, in: Caroni/Gächter/Thurnherr [Hrsg.], Stämpflis Handkommentar zum AuG; 2010, Art. 5 N 33).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5.2).</w:t>
      </w:r>
    </w:p>
    <w:p>
      <w:r>
        <w:rPr>
          <w:b/>
        </w:rPr>
        <w:t>E. 4.4</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5 Abs. 3 AIG; Art. 3 Abs. 4 VEV; Art. 25 Abs. 1 Bst. a VK; Art. 6 Abs. 5 Bst. c SGK).</w:t>
      </w:r>
    </w:p>
    <w:p>
      <w:r>
        <w:rPr>
          <w:b/>
        </w:rPr>
        <w:t>E. 5.1</w:t>
      </w:r>
    </w:p>
    <w:p>
      <w:r>
        <w:t>Aufgrund seiner Staatszugehörigkeit unterliegt der Gesuchsteller der Visumspflicht (vgl. E. 4.2 hiervor). Bei der Prüfung der Einreisevoraussetzungen nach Art. 6 Abs. 1 SGK ist die Frage der gesicherten Wiederausreise zentral. Eine solche erachtete die Vorinstanz aufgrund der allgemeinen Situation im Heimatland, der persönlichen Verhältnisse des Betroffenen sowie des erst kürzlich eingereichten Familiennachzugsgesuchs als nicht genügend gewährleistet.</w:t>
      </w:r>
    </w:p>
    <w:p>
      <w:r>
        <w:rPr>
          <w:b/>
        </w:rPr>
        <w:t>E. 5.2</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5.3</w:t>
      </w:r>
    </w:p>
    <w:p>
      <w:r>
        <w:t>Die Türkei stürzte im Sommer 2018, ausgelöst durch den Kurszerfall der türkischen Lira, in eine schwere Wirtschaftskrise. Rund ein Jahr später verzeichnete die Wirtschaft zwar wieder ein leichtes Wachstum, trotzdem dürfte die Krise noch nicht überwunden sein. Weiter bleibt die innenpolitische Lage in der Türkei angespannt. Mit der Aufhebung des seit dem Putschversuch vom Juli 2016 anhaltenden Notstands wurden die damit verbundenen Einschränkungen und Sonderregelungen im Juli 2018 teilweise in permanentes Recht überführt. Es ist weiterhin von einem erhöhten Risiko der Festnahme oder der Verhängung einer Ausreisesperre auszugehen. Seit Mitte 2015 ist es wiederholt zu terroristischen Anschlägen gekommen. Es ist keinesfalls auszuschliessen, dass terroristische Gruppierungen vor dem Hintergrund türkischer Militäraktionen in Syrien weiterhin versuchen werden, Anschläge auszuüben (vgl. zum Ganzen «www.auswaertiges-amt.de» &gt; Aussen- und Europapolitik &gt; Länder &gt; Türkei &gt; Reise- und Sicherheitshinweise, Stand: 13. Mai 2022; «www.eda.admin.ch» &gt; Reisehinweise &amp; Vertretungen &gt; Länderauswahl &gt; Türkei &gt; Reisehinweise für die Türkei, publiziert am 7. April 2022, abgerufen im Mai 2022).</w:t>
      </w:r>
    </w:p>
    <w:p>
      <w:r>
        <w:rPr>
          <w:b/>
        </w:rPr>
        <w:t>E. 5.4</w:t>
      </w:r>
    </w:p>
    <w:p>
      <w:r>
        <w:t>Vor diesem Hintergrund ist grundsätzlich nicht zu beanstanden, dass die Vorinstanz das Risiko einer nicht fristgerechten Wiederausreise von Besuchern aus der Türkei grundsätzlich als hoch einstuft.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ebenfalls die weiteren Umstände zu würdigen.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6.1</w:t>
      </w:r>
    </w:p>
    <w:p>
      <w:r>
        <w:t>Aus den Akten ist nicht ersichtlich, inwiefern der mittlerweile 57-jährige Beschwerdeführer über aussergewöhnliche gesellschaftliche oder familiäre Bindungen und Verpflichtungen in der Türkei verfügt, welche Gewähr für eine fristgerechte Wiederausreise bieten würden. Als IV-Rentner, welcher von einer Rente von lediglich 700 Euro leben soll, geht er selbstredend keiner Erwerbstätigkeit im Heimatland nach. Weitere Angaben zu seinem persönlichen Umfeld in der Türkei werden denn auch keine gemacht.</w:t>
      </w:r>
    </w:p>
    <w:p>
      <w:r>
        <w:rPr>
          <w:b/>
        </w:rPr>
        <w:t>E. 6.2</w:t>
      </w:r>
    </w:p>
    <w:p>
      <w:r>
        <w:t>Ausschlaggebend für den (negativen) Einspracheentscheid des SEM dürfte jedoch der Umstand sein, dass der Beschwerdeführer - anlässlich seiner letzten, von der Schweizervertretung in Istanbul für einen Besuchsaufenthalt von 90 Tagen bewilligten Einreise in die Schweiz - am 28. Februar 2020 um Erteilung einer Aufenthaltsbewilligung zum Verbleib bei seiner Ehegattin ersucht hatte. Mit der Vorinstanz ist deshalb davon auszugehen, der Beschwerdeführer strebe mit seinem Verhalten einen längerfristigen Aufenthalt in der Schweiz an, was klar seinen Absichtserklärungen betreffend die fristgerechte Wiederausreise nach Ablauf des Besuchervisums widerspricht. In diesem Zusammenhang gilt es jedoch auch der Tatsache Rechnung zu tragen, dass der Beschwerdeführer - noch während gültigem Einreiseverbot - bereits am 20. Januar 2017 beim Migrationsamt ein Gesuch um Familiennachzug eingereicht hatte, welches mit Verfügung vom 30. Mai 2017 abgewiesen wurde (vgl. Bst. A.d des Sachverhalts). Nach dem Gesagten kann deshalb nicht ausgeschlossen werden, dass er auch nach einer erneuten Einreise wiederum versucht sein könnte, den Aufenthalt auf eine andere rechtliche oder faktische Basis zu stellen, um sich so der Pflicht zur Wiederausreise zu entziehen. Vor diesem Hintergrund vermag sein Vorbringen, er habe sich inzwischen mit der Situation in der Türkei abgefunden und der Familiennachzug werde nun auch von seiner Ehefrau nicht (mehr) gewünscht, nicht zu überzeugen. Ebenso unbehelflich erweist sich sein Einwand, nach den zeitlich befristeten Suspendierungen stets fristgerecht ausgereist zu sein, bestand doch damals gegen ihn ein langjähriges Einreiseverbot, welches nur unter strengen Auflagen für eine kurze Zeit ausgesetzt werden konnte. Die von der Schweizervertretung sowie der Vorinstanz geäusserten Zweifel am deklarierten Aufenthaltszweck (Besuchsaufenthalt), welche vom Beschwerdeführer im Verlaufe des Verfahrens nicht ausgeräumt werden konnten, erscheinen als durchaus begründet.</w:t>
      </w:r>
    </w:p>
    <w:p>
      <w:r>
        <w:rPr>
          <w:b/>
        </w:rPr>
        <w:t>E. 6.3</w:t>
      </w:r>
    </w:p>
    <w:p>
      <w:r>
        <w:t>Vor dem dargelegten allgemeinen und persönlichen Hintergrund durfte die Vorinstanz demnach willkürfrei davon ausgehen, dass keine hinreichende Gewähr für eine fristgerechte und anstandslose Wiederausreise des Beschwerdeführers nach einem Besuchsaufenthalt besteht. An dieser Beurteilung ändert die Tatsache nichts, dass die Gastgeber die fristgerechte Ausreise ihres Ehegatten bzw. Vaters zusichern und damit ihr Vertrauen in ein rechtskonformes Verhalten ihres Gastes zum Ausdruck gebracht haben. Bei der Risikobeurteilung ist in erster Linie das mögliche Verhalten des Gastes selbst von Bedeutung. Gastgeber und Garanten können mit rechtlich verbindlicher Wirkung zwar für gewisse finanzielle Risiken im Zusammenhang mit dem Besuchsaufenthalt, nicht aber für ein bestimmtes Tun oder Unterlassen ihrer Gäste einstehen (vgl. in diesem Zusammenhang auch BVGE 2009/27 E. 9).</w:t>
      </w:r>
    </w:p>
    <w:p>
      <w:r>
        <w:rPr>
          <w:b/>
        </w:rPr>
        <w:t>E. 6.4</w:t>
      </w:r>
    </w:p>
    <w:p>
      <w:r>
        <w:t>Mit der fehlenden Gewähr für eine anstandslose Wiederausreise ist eine zwingende Voraussetzung zur Erteilung eines Schengen-Visums nicht erfüllt. Die Frage, ob allenfalls noch weitere Gründe - beispielsweise Sicherheitsbedenken im Sinne von Art. 5 Abs. 1 Bst. c AIG, Art. 5 Abs. 1 Bst. e SGK (vgl. E. 4.2 hievor) aufgrund des in den fremdenpolizeilichen Verfahren beurteilten Rückfallrisikos des Beschwerdeführers (vgl. zuletzt Verfügung des Migrationsamtes vom 29. April 2020 E. 1) - gegen die Ausstellung des beantragten Visums sprechen würden, kann demnach offen gelassen werden. Als Zwischenergebnis gilt es folglich festzuhalten, dass in Anwendung von Art. 5 Abs. 1 und 2 AIG bzw. nach Art. 5 Abs. 1 SGK und Art. 32 Abs. 1 Bst. b Visakodex ein für den gesamten Schengen-Raum gültiges einheitliches Visum aufgrund der nicht gesicherten Wiederausreise nicht erteilt werden darf.</w:t>
      </w:r>
    </w:p>
    <w:p>
      <w:r>
        <w:rPr>
          <w:b/>
        </w:rPr>
        <w:t>E. 7.1</w:t>
      </w:r>
    </w:p>
    <w:p>
      <w:r>
        <w:t>Es bleibt zu prüfen, ob die Voraussetzungen für ein Visum mit räumlich beschränkter Gültigkeit vorliegen.</w:t>
      </w:r>
    </w:p>
    <w:p>
      <w:r>
        <w:rPr>
          <w:b/>
        </w:rPr>
        <w:t>E. 7.2</w:t>
      </w:r>
    </w:p>
    <w:p>
      <w:r>
        <w:t>Ein Visum mit räumlich beschränkter Gültigkeit kann erteilt werden, wenn ein Mitgliedstaat es aus humanitären Gründen, aus Gründen des nationalen Interesses oder aufgrund internationaler Verpflichtungen für erforderlich hält, von den allgemeinen Einreisevoraussetzungen des Art. 5 Abs. 1 Bst. a, c, d und e SGK abzuweichen (Art. 25 Abs. 1 Bst. a Ziff. i Visakodex, Art. 12 Abs. 1 VEV; vgl. E 4.4). Die Voraussetzungen für ein Abweichen von den allgemeinen Einreisevoraussetzungen sind nicht leichthin anzunehmen. Namentlich ist dem Umstand angemessen Rechnung zu tragen, dass die Erteilung eines Visums mit räumlich beschränkter Geltung nicht nur eigene Interessen berührt, sondern infolge des Wegfalles der Personenkontrollen an den Innengrenzen des Schengen-Raums auch die Interessen der übrigen Schengen-Staaten beeinträchtigen kann (vgl. BVGE 2011/48 E. 6.1).</w:t>
      </w:r>
    </w:p>
    <w:p>
      <w:r>
        <w:rPr>
          <w:b/>
        </w:rPr>
        <w:t>E. 7.2.1</w:t>
      </w:r>
    </w:p>
    <w:p>
      <w:r>
        <w:t>Als zureichender Grund für die Erteilung eines Visums mit räumlich beschränkter Gültigkeit kommt in der vorliegenden Streitsache das Völkerrecht in Gestalt von Art. 8 EMRK in Betracht. Der Beschwerdeführer beruft sich ausdrücklich darauf und macht geltend, faktisch generelle Kontaktverweigerungen in der Schweiz seien im Lichte der Konventionsgarantie nicht gerechtfertigt.</w:t>
      </w:r>
    </w:p>
    <w:p>
      <w:r>
        <w:rPr>
          <w:b/>
        </w:rPr>
        <w:t>E. 7.2.2</w:t>
      </w:r>
    </w:p>
    <w:p>
      <w:r>
        <w:t>Art. 8 EMRK und der inhaltlich deckungsgleiche Art. 13 Abs. 1 BV dienen allgemein dem Schutz des Familien- und Privatlebens. Auf die Teilgarantie des Familienlebens können sich namentlich ausländische Personen berufen, die nahe Familienangehörige mit hinreichend gefestigtem Anwesenheitsrecht in der Schweiz haben, sofern das Familienleben intakt ist und gelebt wird. Wird ihnen die Einreise oder der Aufenthalt verweigert, so kann darin eine Verletzung der EMRK begründet sein. Die Konventionsgarantie schützt allerdings nur das Familienleben als solches, nicht aber die freie Wahl des für den Aufbau und die Führung des Familienlebens günstigsten Ortes. Ein Eingriff in den Schutzbereich des Familienlebens liegt daher in aller Regel nicht vor, wenn den Beteiligten ohne Weiteres zugemutet werden kann, das Familienleben bzw. die familiären Kontakte ausserhalb der Schweiz zu pflegen. Eine Interessenabwägung nach Art. 8 Abs. 2 EMRK erübrigt sich unter diesen Umständen. Anders verhält es sich, wenn den Beteiligten nicht oder nicht ohne Weiteres zugemutet werden kann, in das Ausland auszuweichen. In diesem Fall ist immer eine Interessenabwägung nach Art. 8 Abs. 2 EMRK bzw. Art. 36 BV geboten, die sämtlichen Umständen des Einzelfalls umfassend Rechnung trägt (BGE 135 I 153 E. 2.1 S. 154 ff. m.H.; BVGE 2011/48 E. 6.3.1).</w:t>
      </w:r>
    </w:p>
    <w:p>
      <w:r>
        <w:rPr>
          <w:b/>
        </w:rPr>
        <w:t>E. 7.2.3</w:t>
      </w:r>
    </w:p>
    <w:p>
      <w:r>
        <w:t>Die angefochtene Einreiseverweigerung betrifft bezüglich der in der Schweiz lebenden Ehefrau, die seit geraumer Zeit über eine Niederlassungsbewilligung verfügt, die Kernfamilie. Damit sind die Voraussetzungen an die verwandtschaftliche Beziehungsnähe zwischen den beteiligten Personen und die Qualität ihrer Beziehung zur Schweiz erfüllt, von denen das Bundesgericht die Berufung auf Art. 8 EMRK im Zusammenhang mit der Erteilung einer Aufenthaltsbewilligung abhängig macht (vgl. statt vieler BGE 130 II 281 E. 3.1 S. 285 f. m.H.; BGE 120 Ib 257). A fortiori ist der Anwendungsbereich des Art. 8 EMRK geöffnet, wenn es um die Bewilligung der Einreise zu Besuchszwecken geht (vgl. BVGE 2011/48 E. 6.3.2). Anhaltspunkte dafür, dass das Familienleben der Betroffenen nicht intakt wäre oder innerhalb der vom Ausländerrecht gewährten Möglichkeiten nicht gelebt würde, bestehen nicht. Dass die Wahrnehmung familiärer Kontakte in zumutbarer Weise nur durch Besuche des Beschwerdeführers in der Schweiz zu verwirklichen wäre, wird zu Recht nicht behauptet. Aus den Akten ergeben sich denn auch keine Anhaltspunkte für die Annahme, der in der Schweiz niedergelassenen Ehegattin bzw. den beiden (in der Zwischenzeit eingebürgerten) Söhnen sei es in Zukunft aus rechtserheblichen Gründen nicht mehr möglich, ihren Ehemann respektive Vater in dessen ursprünglichen Heimat zu besuchen. Die Visumsverweigerung erscheint daher auch nicht als unverhältnismässig, zumal der Beschwerdeführer in den letzten Jahren regelmässig die Gelegenheit hatte, seine Familie in der Schweiz zu besuchen. Der (an sich verständliche) Wunsch des Beschwerdeführers, Ehefrau und weitere Familienangehörige in der Schweiz treffen zu können, hat demnach in den Hintergrund zu treten. Den Betroffenen ist es unbenommen, die familiären Kontakte weiterhin in der Türkei zu pflegen (vgl. BGE 144 II 1 E. 6.1; BVGE 2011/48 E. 6.3.2 sowie zum Ganzen auch Urteil des BVGer C-6581/2013 vom 19. Mai 2015 E. 7).</w:t>
      </w:r>
    </w:p>
    <w:p>
      <w:r>
        <w:rPr>
          <w:b/>
        </w:rPr>
        <w:t>E. 7.3</w:t>
      </w:r>
    </w:p>
    <w:p>
      <w:r>
        <w:t>Andere Sachverhaltselemente, die unter dem Gesichtspunkt der humanitären Gründe, des nationalen Interesses oder der völkerrechtlichen Verpflichtungen die Erteilung eines Visums mit räumlich beschränkter Geltung rechtfertigen würden, werden weder geltend gemacht noch ergeben sie sich aus den Akten.</w:t>
      </w:r>
    </w:p>
    <w:p>
      <w:r>
        <w:rPr>
          <w:b/>
        </w:rPr>
        <w:t>E. 8</w:t>
      </w:r>
    </w:p>
    <w:p>
      <w:r>
        <w:t>Zusammenfassend ist festzustellen, dass dem Beschwerdeführer weder ein einheitliches Visum noch ein Visum mit beschränkter räumlicher Gültigkeit erteilt werden kann. Die angefochtene Verfügung ist deshalb im Lichte von Art. 49 VwVG nicht zu beanstanden und die Beschwerde ist abzuweisen.</w:t>
      </w:r>
    </w:p>
    <w:p>
      <w:r>
        <w:rPr>
          <w:b/>
        </w:rPr>
        <w:t>E. 9</w:t>
      </w:r>
    </w:p>
    <w:p>
      <w:r>
        <w:t>Bei diesem Ausgang des Verfahrens sind die Kosten dem Beschwerdeführer aufzuerlegen und auf Fr. 1'000.- festzusetzen (vgl. Art. 63 Abs. 1 VwVG i.V.m. Art. 1 ff. des Reglements vom 21. Februar 2008 über die Kosten und Entschädigungen vor dem Bundesverwaltungsgericht [VGKE, SR 173.320.2]). Die Verfahrenskosten sind durch den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