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F-1801/2023 vom 1. Mai 2023</w:t>
      </w:r>
    </w:p>
    <w:p>
      <w:r>
        <w:t>Bundesverwaltungsgericht, 2023-05-01, FR</w:t>
      </w:r>
    </w:p>
    <w:p>
      <w:r>
        <w:rPr>
          <w:b/>
        </w:rPr>
        <w:t xml:space="preserve">Quelle: </w:t>
      </w:r>
      <w:r>
        <w:t>https://mcp.opencaselaw.ch/entscheid/bvger_F-1801_2023</w:t>
      </w:r>
    </w:p>
    <w:p>
      <w:r>
        <w:t>FR: TAF F-1801/2023 du 1 mai 2023</w:t>
      </w:r>
    </w:p>
    <w:p>
      <w:r>
        <w:t>IT: TAF F-1801/2023 del 1 maggio 2023</w:t>
      </w:r>
    </w:p>
    <w:p>
      <w:pPr>
        <w:pStyle w:val="Heading2"/>
      </w:pPr>
      <w:r>
        <w:t>Regeste</w:t>
      </w:r>
    </w:p>
    <w:p>
      <w:r>
        <w:t>Asile (non-entrée en matière) et renvoi (procédure Dublin - art. 31a al. 1 let. b LAsi)</w:t>
      </w:r>
    </w:p>
    <w:p>
      <w:pPr>
        <w:pStyle w:val="Heading2"/>
      </w:pPr>
      <w:r>
        <w:t>Erwägungen</w:t>
      </w:r>
    </w:p>
    <w:p>
      <w:r>
        <w:rPr>
          <w:b/>
        </w:rPr>
        <w:t>E. 4.1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4.3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w:t>
      </w:r>
    </w:p>
    <w:p>
      <w:r>
        <w:rPr>
          <w:b/>
        </w:rPr>
        <w:t>E. 4.4</w:t>
      </w:r>
    </w:p>
    <w:p>
      <w:r>
        <w:t>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Selon l'art. 13 par. 1 RD III, lorsqu'il est établi que le demandeur a franchi irrégulièrement la frontière d'un Etat membre dans lequel il est entré en venant d'un Etat tiers, cet Etat membre est responsable de l'examen de la demande de protection internationale. 5.5.1 En l'occurrence, les investigations entreprises par le SEM ont révélé, après consultation de la base de données « Eurodac » en date du 10 octobre 2022, que le recourant avait été interpellé en Croatie en date du 30 septembre 2022. C'est donc à juste titre que l'autorité intimée a invoqué le critère de compétence prévu à l'art. 13 par. 1 RD III à l'appui de la requête de prise en charge du recourant, adressée à la Croatie en date du 5 décembre 2022, soit dans le délai fixé à l'art. 21 par. 1 RD III. Le 3 février 2023, soit dans le respect du délai de deux mois prévu à l'art. 22 par. 1 RD III, les autorités croates ont admis cette requête en se basant sur la même disposition. La compétence de la Croatie pour le traitement de la demande d'asile du requérant est donc donnée, au regard des critères de détermination de l'Etat responsable (art. 7 ss RD III). Ce point n'est du reste pas contesté. 5.2 Le recourant s'est toutefois opposé à son transfert vers la Croatie en soutenant en substance avoir été victime de maltraitance par la police croate. Ainsi, il aurait été « forcé » de donner ses empreintes, privé de nourriture/boisson et de soins, enfermé dans une pièce, menacé avec une arme, agressé verbalement et dépouillé de son téléphone. Il a détaillé ses troubles psychologiques et physiques et affirmé que ceux-ci ne pourraient pas être traités en Croatie. Enfin, il a invoqué - de manière plus générale - les conditions d'accueil des requérants d'asile dans ce pays, les violences policières contre ces derniers, l'absence de recours effectif contre « la violence d'Etat » et les risques de push-backs illégaux. 6.Il convient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UE. 6.1 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 à ce titre, la Croatie en applique les dispositions. 6.2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 cf. arrêt du TAF E-711/2021 du 11 mars 2021 consid. 4.2.1). 6.3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6.4 Dans un récent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arrêts du TAF F-1875/2023 du 13 avril 2023 consid. 5.4 et 5.5, F-5661/2022 du 6 avril 2023 consid. 5.1 et 5.2 et D-1617/2023 du 30 mars 2023 consid. 8.3). Par voie de conséquence, en l'absence d'une pratique actuelle avérée en Croatie de violation systématique des normes communautaires et conventionnelles en la matière, la présomption de respect par cet Etat de ses obligations concernant les droits des requérants d'asile, pris en charge dans le cadre d'une procédure Dublin, n'est pas renversée. L'application de l'art. 3 par. 2 al. 2 RD III ne se justifie donc pas en l'espèce (cf. ATAF 2017 VI/5 consid. 8.4). A cet égard, ni le rapport de l'Organisation suisse d'aide aux réfugiés (OSAR) du 13 septembre 2022, ni celui de Solidarités sans frontières du 5 décembre 2022 (tous deux cités par le recourant), ni les arrêts de la Cour européenne des droits de l'homme (Cour EDH) mentionnés dans le recours (qui ne concernent pas des transferts Dublin), ne permettent de remettre en question l'appréciation du Tribunal. 6.5 La présomption de sécurité peut également être renversée par des indices sérieux que, dans le cas concret, les autorités de l'Etat Dublin en question ne respecteraient pas le droit international (ATAF 2010/45 consid. 7.4 et 7.5). De tels indices font défaut en l'espèce. Rien n'indique que les autorités croates violeraient le droit de l'intéressé à l'examen, selon une procédure juste et équitable, de sa demande de protection internationale. A cet égard, il convient de rappeler que dites autorités ont expressément accepté la requête de prise en charge du SEM (cf. supra, consid. 5.1). De même, l'intéressé n'a pas apporté d'indices qu'il serait privé durablement, en Croatie, de tout accès aux conditions matérielles d'accueil et qu'il ne pourrait pas bénéficier de l'aide nécessaire pour faire valoir ses droits. A cet égard, ses allégations de mauvais traitements de la part de la police croate ne sont nullement étayées. Par surabondance, il convient de rappeler que tous les Etats Dublin sont tenus d'enregistrer les empreintes des ressortissants d'Etats tiers qui sont interceptés lors d'un passage illégal d'une frontière extérieure à l'espace Dublin (cf. art. 14 al. 1 du règlement [EU] n° 603/2013 du Parlement européen et du Conseil du 26 juin 2013 relatif à la création d'Eurodac). Cela étant, si le recourant devait, à l'issue de son transfert en Croatie (Etat dans lequel il lui reviendra de déposer une demande d'asile),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 cas échéant avec l'aide d'un mandataire ou des organisations caritatives oeuvrant sur place - en usant des voies de droit adéquates (voir arrêt du TAF D-1617/2023 du 30 mars 2023 consid. 8.4.4 et 8.5). Ainsi, le recourant n'a pas renversé la présomption selon laquelle la Croatie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ni d'ailleurs que la Croatie ne respecterait pas - cas échéant - son droit à un recours effectif garanti par l'art. 13 CEDH. 6.6 Son transfert vers cet Etat n'est donc pas contraire aux obligations de la Suisse découlant des dispositions conventionnelles auxquelles cette dernière est liée. Il importe enfin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7</w:t>
      </w:r>
    </w:p>
    <w:p>
      <w:r>
        <w:t>7.1 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Ainsi que l'a retenu la Cour 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Grande Chambre, req. n° 41738/10, par. 174 à 183). Comme l'a précisé la Cour 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7.3</w:t>
      </w:r>
    </w:p>
    <w:p>
      <w:r>
        <w:t>Le Tribunal considère qu'aucun élément au dossier ne permet d'inférer qu'en cas de transfert vers la Croatie, le recourant risquerait d'être exposé à un déclin grave, rapide et irréversible de son état de santé. En particulier, le diagnostic de PTSD - s'il venait à être confirmé - ne permettrait pas de faire obstacle à un transfert en Croatie (en ce sens : arrêt du TAFF-605/2023 du 9 mars 2023 consid. 6.5.3). Force est donc de constater que les examens médicaux subis, les diagnostics posés et les traitements suivis ne sont pas révélateurs de maladies d'une gravité ou d'une spécificité telle qu'elles ne pourraient pas être traitées en Croatie (sur les possibilités de prise en charge médicale dans le domaine de l'asile en Croatie, cf. notamment arrêt du TAF E-3771/2022 du 2 novembre 2022 consid. 6.4). Il reviendra cas échéant au recourant, une fois son transfert en Croatie effectué et sa demande d'asile déposée,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Enfin, même si l'intéressé devait manifester des tendances suicidaires avant son transfert (cf. en ce sens recours du 31 mars 2023, pp. 5 et 14), il est rappelé que de telles tendances ne constituent pas, en soi, un obstacle à l'exécution d'un transfert Dublin,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arrêt du TAF D-1617/2023 du 30 mars 2023 consid. 9.4.5). En tout état de cause, il sied de relever que le SEM a indiqué, dans sa décision du 23 mars 2023, qu'il informerait les autorités croates compétentes de l'état de santé de l'intéressé et des traitements suivis, lors de son transfert, conformément aux art. 31 et 32 RD III - étant précisé que celui-ci a donné son accord écrit à la transmission d'informations médicales.</w:t>
      </w:r>
    </w:p>
    <w:p>
      <w:r>
        <w:rPr>
          <w:b/>
        </w:rPr>
        <w:t>E. 7.4</w:t>
      </w:r>
    </w:p>
    <w:p>
      <w:r>
        <w:t>En conséquence, il y a lieu de retenir que les problèmes de santé, sous contrôle médical, dont le recourant est atteint - et dont le Tribunal ne remet pas en cause l'étendue - ne sauraient faire obstacle à l'exécution de son transfert vers la Croatie. Ledit transfert n'est pas contraire aux obligations découlant des dispositions conventionnelles auxquelles la Suisse est liée. Point n'était donc besoin, pour l'autorité inférieure, de requérir des autorités croates des garanties s'agissant des conditions d'hébergement de l'intéressé ou de son accès à une procédure d'asile (cf. arrêts du TAF F-4447/2022 du 11 octobre 2022 consid. 6.3 et D-5548/2021 du 4 janvier 2022 consid. 9.3). 8.Le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9.Au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exemption du paiement d'une avance de frais et en octroi de l'effet suspensif sont sans objet. Par ailleurs, les conclusions du recours étant d'emblée vouées à l'échec, la requête d'assistance judiciaire partielle doit être rejetée (art. 65 PA). En outre, les mesures superprovisionnelles prononcées le 3 avril 2023 sont désormais caduques. 10.Vu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