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F-1796/2025 vom 21. März 2025</w:t>
      </w:r>
    </w:p>
    <w:p>
      <w:r>
        <w:t>Bundesverwaltungsgericht, 2025-03-21, DE</w:t>
      </w:r>
    </w:p>
    <w:p>
      <w:r>
        <w:rPr>
          <w:b/>
        </w:rPr>
        <w:t xml:space="preserve">Quelle: </w:t>
      </w:r>
      <w:r>
        <w:t>https://mcp.opencaselaw.ch/entscheid/bvger_F-1796_2025</w:t>
      </w:r>
    </w:p>
    <w:p>
      <w:r>
        <w:t>FR: TAF F-1796/2025 du 21 mars 2025</w:t>
      </w:r>
    </w:p>
    <w:p>
      <w:r>
        <w:t>IT: TAF F-1796/2025 del 21 marzo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unter Vorbehalt von E. 1.2 einzutreten ist (Art. 48 Abs. 1 VwVG, Art. 108 Abs. 3 AsylG und Art. 52 Abs. 1 VwVG).</w:t>
      </w:r>
    </w:p>
    <w:p>
      <w:r>
        <w:rPr>
          <w:b/>
        </w:rPr>
        <w:t>E. 1.2</w:t>
      </w:r>
    </w:p>
    <w:p>
      <w:r>
        <w:t>Streitgegenstand kann nur sein, was bereits Gegenstand des ange-fochtenen Entscheids war oder allenfalls hätte sein müssen und zwischen den Parteien noch strittig ist. Im Laufe eines Rechtsmittelverfahrens kann sich der Streitgegenstand grundsätzlich nicht erweitern oder inhaltlich ver-ändern (vgl. BGE 144 II 359 E. 4.3; 142 I 155 E. 4.4.2; 136 II 457 E. 4.2; BVGE 2018 V/3 E. 3.1; je m.w.H.). Die Gewährung von Schutz bildete nicht Teil der angefochtenen Verfügung und hätte darin auch nicht geprüft werden müssen, weshalb sie nicht Gegenstand des vorliegenden Beschwerdeverfahrens sein kann. Auf das entsprechende Rechtsbegehren ist nicht einzutreten.</w:t>
      </w:r>
    </w:p>
    <w:p>
      <w:r>
        <w:rPr>
          <w:b/>
        </w:rPr>
        <w:t>E. 2</w:t>
      </w:r>
    </w:p>
    <w:p>
      <w:r>
        <w:t>Die Beschwerde erweist sich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3.1</w:t>
      </w:r>
    </w:p>
    <w:p>
      <w:r>
        <w:t>Die Vorinstanz hat korrekt erwogen, dass gestützt auf Art. 18 Abs. 1 Bst. d Dublin-III-VO grundsätzlich Deutschland für die Durchführung des Asyl- und Wegweisungsverfahrens der Beschwerdeführerinnen zuständig ist, dass das deutsche Asylsystem rechtsprechungsgemäss keine systemischen Mängel aufweist (vgl. statt vieler: Urteil des BVGer F-796/2025 vom 17. Februar 2025 E. 2.1), aufgrund derer die Zuständigkeit gemäss Art. 3 Abs. 2 Dublin-III-VO auf die Schweiz überginge, und dass vorliegend keine völkerrechtlichen Wegweisungsvollzugshindernisse ersichtlich sind, welche die Schweiz zu einem Selbsteintritt nach Art. 17 Abs. 1 Dublin-III-VO verpflichten würden. Darüber hinaus hat die Vorinstanz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die Asylgesuche der Beschwerdeführerinnen nicht eingetreten und hat in Anwendung von Art. 44 AsylG deren Wegweisung nach Deutschland angeordnet. Zur näheren Begründung ist auf die ausführlichen vorinstanzlichen Erwägungen zu verweisen.</w:t>
      </w:r>
    </w:p>
    <w:p>
      <w:r>
        <w:rPr>
          <w:b/>
        </w:rPr>
        <w:t>E. 3.2</w:t>
      </w:r>
    </w:p>
    <w:p>
      <w:r>
        <w:t>Die Ausführungen auf Beschwerdeebene vermögen an der Richtigkeit der angefochtenen Verfügung nichts zu ändern. Da das deutsche Asylsystem rechtsprechungsgemäss keine systemischen Schwachstellen aufweist (siehe E. 3.1 hiervor), erübrigen sich Weiterungen zur geltend gemachten Gefahr einer allfälligen Kettenabschiebung (siehe einlässlich dazu Urteil des EuGH vom 30. November 2023, verbundene Rechtssachen C-228/21, C-254/21, C-297/21, C-315/21 und C-328/21, §§ 129-142 und Ziff. 2 des Dispositivs). Soweit eine flüchtlingsrechtlich relevante Gefährdung der Beschwerdeführerinnen im Irak geltend macht wird, ist festzuhalten, dass die Prüfung von Fluchtgründen nicht Gegenstand des vorliegenden, einzig auf die Prüfung der Zuständigkeit des für die Durchführung des Asyl- und Wegweisungsverfahrens zuständigen Staates gerichteten Dublin-Verfahrens sein kann (siehe E. 1.2 hiervor), weshalb darauf nicht weiter einzugehen ist.</w:t>
      </w:r>
    </w:p>
    <w:p>
      <w:r>
        <w:rPr>
          <w:b/>
        </w:rPr>
        <w:t>E. 4</w:t>
      </w:r>
    </w:p>
    <w:p>
      <w:r>
        <w:t>Im Ergebnis ist die angefochtene Verfügung nicht zu beanstanden (Art. 106 AsylG). Die Beschwerde ist abzuweisen, soweit darauf einzutreten ist. Mit dem vorliegenden Urteil fällt der angeordnete Vollzugsstopp dahin.</w:t>
      </w:r>
    </w:p>
    <w:p>
      <w:r>
        <w:rPr>
          <w:b/>
        </w:rPr>
        <w:t>E. 5</w:t>
      </w:r>
    </w:p>
    <w:p>
      <w:r>
        <w:t>Entsprechend dem Verfahrensausgang sind die Kosten den unterliegenden Beschwerdeführerinnen aufzuerlegen (Art. 63 Abs. 1 VwVG) und auf insgesamt Fr. 750.- festzusetzen (Art. 1-3 des Reglements vom 21. Februar 2008 über die Kosten und Entschädigungen vor dem Bundesverwaltungsgericht [VGKE, SR 173.320.2]).</w:t>
      </w:r>
    </w:p>
    <w:p>
      <w:r>
        <w:rPr>
          <w:b/>
        </w:rPr>
        <w:t>E. 6</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