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F-1792/2021 vom 1. Juni 2022</w:t>
      </w:r>
    </w:p>
    <w:p>
      <w:r>
        <w:t>Bundesverwaltungsgericht, 2022-06-01, FR</w:t>
      </w:r>
    </w:p>
    <w:p>
      <w:r>
        <w:rPr>
          <w:b/>
        </w:rPr>
        <w:t xml:space="preserve">Quelle: </w:t>
      </w:r>
      <w:r>
        <w:t>https://mcp.opencaselaw.ch/entscheid/bvger_F-1792_2021</w:t>
      </w:r>
    </w:p>
    <w:p>
      <w:r>
        <w:t>FR: TAF F-1792/2021 du 1 juin 2022</w:t>
      </w:r>
    </w:p>
    <w:p>
      <w:r>
        <w:t>IT: TAF F-1792/2021 del 1 giugno 2022</w:t>
      </w:r>
    </w:p>
    <w:p>
      <w:pPr>
        <w:pStyle w:val="Heading2"/>
      </w:pPr>
      <w:r>
        <w:t>Regeste</w:t>
      </w:r>
    </w:p>
    <w:p>
      <w:r>
        <w:t>Assistance administrative</w:t>
      </w:r>
    </w:p>
    <w:p>
      <w:pPr>
        <w:pStyle w:val="Heading2"/>
      </w:pPr>
      <w:r>
        <w:t>Erwägungen</w:t>
      </w:r>
    </w:p>
    <w:p>
      <w:r>
        <w:rPr>
          <w:b/>
        </w:rPr>
        <w:t>E. 7.1</w:t>
      </w:r>
    </w:p>
    <w:p>
      <w:r>
        <w:t>La recourante avance en outre que le principe de spécialité ne serait pas respecté dans le cas d'espèce. A l'appui de son grief, elle relève en substance qu'il existerait un fort risque que l'autorité requérante utilise - en violation du principe de spécialité - les informations reçues par le biais de la présente procédure d'assistance administrative à d'autres fins que fiscales.</w:t>
      </w:r>
    </w:p>
    <w:p>
      <w:r>
        <w:rPr>
          <w:b/>
        </w:rPr>
        <w:t>E. 7.2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X._________, et [...] ces renseignements seront exclusivement utilisés contre les personnes visées par notre demande (y inclus des personnes tierces dans un contexte fiscal) », cf. Décision finale de l'AFC, ch. 8.2).</w:t>
      </w:r>
    </w:p>
    <w:p>
      <w:r>
        <w:rPr>
          <w:b/>
        </w:rPr>
        <w:t>E. 7.3</w:t>
      </w:r>
    </w:p>
    <w:p>
      <w:r>
        <w:t>Par surabondance de moyens, la Cour de céans relève qu'elle ne nie pas que les différentes garanties fournies par la France en lien avec le respect du principe de spécialité concernent pour l'essentiel la banque X.________.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7.4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8</w:t>
      </w:r>
    </w:p>
    <w:p>
      <w:r>
        <w:t>La recourante allègue enfin que la demande d'assistance a été octroyée en violation du principe de la bonne foi, dès lors qu'il y aurait de sérieux doutes que cette demande se fonde sur des renseignements obtenus par des actes punissables en droit suisse et viole par conséquent le principe de la bonne foi.</w:t>
      </w:r>
    </w:p>
    <w:p>
      <w:r>
        <w:rPr>
          <w:b/>
        </w:rPr>
        <w:t>E. 8.1</w:t>
      </w:r>
    </w:p>
    <w:p>
      <w:r>
        <w:t>A titre liminaire, la Cour de céans relève qu'il ressort de l'état de fait de la requête qu'une enquête diligentée par le parquet de Bochum et des visites domiciliaires effectuées dans les succursales allemandes de la banque X.________ en mai 2012 et juillet 2013 ont abouti à la saisie de données concernant des contribuables français liés à des comptes ouverts auprès de la banque X.________ en Suisse. Ces données ont été communiquées à la DGFP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X.________ Deutschland AG à Y.________. Le serveur de sauvegarde comprenait des sauvegardes des ordinateurs des employés de X.________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X.________ dans le cadre de cette enquête, le Land allemand de Rhénanie du Nord-Westphalie aurait acheté en août 2012 un CD de données contenant les informations sur des clients enregistrés auprès de la banque X.________ en Suisse. Sur la base de ce CD de données, les autorités allemandes auraient mené des enquêtes contre de nombreux clients allemands de la banque X.________. C'est dans le cadre de ces enquêtes que le parquet de Bochum aurait procédé à diverses perquisitions au siège de X.________ Deutschland AG à Y.________ et auprès d'autres sites de X.________ en Allemagne. Lors de la perquisition au siège de la banque X.________ Deutschland AG à Y.________,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X.________ dans le cadre de la présente procédure d'assistance administrative (cf. Décision finale de l'AFC, ch. 6.4).</w:t>
      </w:r>
    </w:p>
    <w:p>
      <w:r>
        <w:rPr>
          <w:b/>
        </w:rPr>
        <w:t>E. 8.2</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5.2.1.1 et 5.2.1.2 ci-après.</w:t>
      </w:r>
    </w:p>
    <w:p>
      <w:r>
        <w:rPr>
          <w:b/>
        </w:rPr>
        <w:t>E. 8.2.1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X.________ sur lesquelles la présente demande se fonde (cf. arrêts du TAF A-3045/2020, A-3047/2020 et A-3048/2020 précités consid. 5.2.3 [le TF a déclaré irrecevable les recours déposés contre ces décisions : cf. notamment l'arrêt du TF 2C_320/2021 du 30 avril 2021] ainsi que les arrêts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8.2.2</w:t>
      </w:r>
    </w:p>
    <w:p>
      <w:r>
        <w:t>Quant à l'existence d'un lien de causalité entre les données prétendument volées et la demande d'assistance administrative dont se prévalent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les arrêts A-1534/2018, A-1555/2018, A-1562/2018 et A-1563/2018 précités consid. 3.6 ; consid. A.b et 5.2.2 supra). C'est en conséquence également en vain que la recourante se prévaut d'une violation du principe de la bonne foi. 9.Vu les considérants qui précèdent, le recours est rejeté, dans la mesure où il est recevable.</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