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F-1782/2021 vom 18. April 2023</w:t>
      </w:r>
    </w:p>
    <w:p>
      <w:r>
        <w:t>Bundesverwaltungsgericht, 2023-04-18, FR</w:t>
      </w:r>
    </w:p>
    <w:p>
      <w:r>
        <w:rPr>
          <w:b/>
        </w:rPr>
        <w:t xml:space="preserve">Quelle: </w:t>
      </w:r>
      <w:r>
        <w:t>https://mcp.opencaselaw.ch/entscheid/bvger_F-1782_2021</w:t>
      </w:r>
    </w:p>
    <w:p>
      <w:r>
        <w:t>FR: TAF F-1782/2021 du 18 avril 2023</w:t>
      </w:r>
    </w:p>
    <w:p>
      <w:r>
        <w:t>IT: TAF F-1782/2021 del 18 aprile 2023</w:t>
      </w:r>
    </w:p>
    <w:p>
      <w:pPr>
        <w:pStyle w:val="Heading2"/>
      </w:pPr>
      <w:r>
        <w:t>Regeste</w:t>
      </w:r>
    </w:p>
    <w:p>
      <w:r>
        <w:t>Assistance administrative</w:t>
      </w:r>
    </w:p>
    <w:p>
      <w:pPr>
        <w:pStyle w:val="Heading2"/>
      </w:pPr>
      <w:r>
        <w:t>Erwägungen</w:t>
      </w:r>
    </w:p>
    <w:p>
      <w:r>
        <w:rPr>
          <w:b/>
        </w:rPr>
        <w:t>E. 6.1.1</w:t>
      </w:r>
    </w:p>
    <w:p>
      <w:r>
        <w:t>Pour ce qui est des conditions de fond, les recourants reprochent tout d'abord à l'autorité inférieure d'accéder à une demande basée sur des données volées, en violation du principe de la bonne foi et de l'art. 7 let. c LAAF. A l'appui de leur grief, les recourants avancent que la demande du 11 mai 2016 reposerait sur des données obtenues en violation du secret bancaire (cf. art. 47 de la loi fédérale du 8 novembre 1934 sur les banques et les caisses d'épargne [LB, RS 952.0]), respectivement sur des données volées à la banque UBS. L'AFC elle-même aurait admis la provenance illicite desdites données, qui établirait sans conteste la mauvaise foi de l'Etat requérant. Les circonstances dans lesquelles ces informations ont été transmises aux autorités françaises seraient d'ailleurs particulièrement floues. Les recourants reprochent dès lors à l'autorité inférieure de ne pas avoir demandé des éclaircissements à la DGFiP s'agissant du contexte dans lequel elle a obtenu ces données, ce qui fait l'objet de l'une de leurs conclusions préalables.</w:t>
      </w:r>
    </w:p>
    <w:p>
      <w:r>
        <w:rPr>
          <w:b/>
        </w:rPr>
        <w:t>E. 6.1.2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6.1.3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6.1.3.1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6.1.3.2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6.1.2 supra).</w:t>
      </w:r>
    </w:p>
    <w:p>
      <w:r>
        <w:rPr>
          <w:b/>
        </w:rPr>
        <w:t>E. 6.1.4</w:t>
      </w:r>
    </w:p>
    <w:p>
      <w:r>
        <w:t>Au demeurant, le Tribunal rappelle qu'à l'aune du principe de la bonne foi qui gouverne les relations entre Etats, la Suisse, en qualité d'Etat requis, ne peut mettre en doute les allégations de la France, en qualité d'Etat requérant, à moins d'un doute sérieux (cf. consid. 3.4.2 supra), qui n'est pas réalisé en l'espèce. Les recourants n'amènent en effet aucun élément établi et concret à même de renverser la présomption de bonne foi de l'Etat requérant. Il n'y a en conséquence pas lieu d'adresser de demande d'éclaircissement à la DGFiP, les conclusions préalables y relatives des recourants étant rejetées.</w:t>
      </w:r>
    </w:p>
    <w:p>
      <w:r>
        <w:rPr>
          <w:b/>
        </w:rPr>
        <w:t>E. 6.1.5</w:t>
      </w:r>
    </w:p>
    <w:p>
      <w:r>
        <w:t>Partant, le grief tiré de la violation du principe de la bonne foi en lien avec l'utilisation de données volées est rejeté.</w:t>
      </w:r>
    </w:p>
    <w:p>
      <w:r>
        <w:rPr>
          <w:b/>
        </w:rPr>
        <w:t>E. 6.2.1</w:t>
      </w:r>
    </w:p>
    <w:p>
      <w:r>
        <w:t>Au moyen d'un second et dernier grief, les recourants plaident que les informations les concernant ne rempliraient pas la condition de la pertinence vraisemblable. Ils soutiennent d'abord qu'ils n'auraient pas été fiscalement domiciliés en France durant la période visée, mais à (...) en ce qui concerne le recourant 1, en (...) puis en (...) s'agissant des recourants 2 et 3, et au (...) pour la recourante 4. Ils en veulent pour preuve différents documents attestant de leurs séjours respectifs ou de leur taxation dans les Etats susmentionnés pour les années concernées (cf. pièces 4 à 26 des deux bordereaux des recourants). Se prévalant également des adresses indiquées dans les fichiers transmis par la banque UBS (cf. pièce 46 des deux dossiers de l'autorité inférieure), dont aucune n'est en France, les recourants arguent que le fait de les avoir intégrés dans la procédure d'assistance administrative relève d'une erreur manifeste. Se référant aux art. L.169 et L.181-0A du Livre des procédures fiscales français, ils soutiennent en outre que la prescription décennale de droit français serait acquise pour une partie des renseignements requis. Arguant que la pertinence vraisemblable des renseignements requis devrait être examinée avec une grande circonspection dans le cas d'espèce - soit une demande de liste (« Listenersuchen ») fondée sur des informations remontant à 2006 et 2008, respectivement sur une simple supposition liée au code « domizil » - les recourants estiment avoir démontré que les renseignements les concernant ne sont d'aucune pertinence pour le fisc français.</w:t>
      </w:r>
    </w:p>
    <w:p>
      <w:r>
        <w:rPr>
          <w:b/>
        </w:rPr>
        <w:t>E. 6.2.2</w:t>
      </w:r>
    </w:p>
    <w:p>
      <w:r>
        <w:t>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Etats tiers - en l'occurrence (...) - dans lesquels les recourants font valoir avoir été domiciliés fiscalement durant la période sous contrôle n'a pas à être examinée par la Cour de céans. Le fait qu'aucune des adresses ressortant du fichier de la banque UBS ne soit située en France n'y change rien ; il s'agit en effet uniquement des adresses les plus récentes ressortant des données internes de la banque.</w:t>
      </w:r>
    </w:p>
    <w:p>
      <w:r>
        <w:rPr>
          <w:b/>
        </w:rPr>
        <w:t>E. 6.2.3</w:t>
      </w:r>
    </w:p>
    <w:p>
      <w:r>
        <w:t>Quant au moyen tiré de la prescription du droit de taxer, il convient de souligner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Les recourants font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1.5.3 supra), est pleinement applicable à la présente cause. Il en découle que l'éventuelle acquisition de la prescription décennale en cours de procédure n'est d'aucun secours aux recourants, leur grief étant rejeté.</w:t>
      </w:r>
    </w:p>
    <w:p>
      <w:r>
        <w:rPr>
          <w:b/>
        </w:rPr>
        <w:t>E. 6.3</w:t>
      </w:r>
    </w:p>
    <w:p>
      <w:r>
        <w:t>Pour le surplus, rien n'indique - et les recourants ne le prétendent pas - que les autres conditions matérielles de l'assistance administrative ne seraient pas respectées.</w:t>
      </w:r>
    </w:p>
    <w:p>
      <w:r>
        <w:rPr>
          <w:b/>
        </w:rPr>
        <w:t>E. 7.1</w:t>
      </w:r>
    </w:p>
    <w:p>
      <w:r>
        <w:t>Compte tenu de ce qui précède, les recours sont rejetés dans la mesure de leur recevabilité. Les recourants, qui succombent, doivent supporter solidairement les frais de procédure, lesquels se montent, compte tenu de la charge de travail liée à la procédure, à Fr. 7'500.- (cf. l'art. 63 al. 1 PA et art. 4 du règlement du 21 février 2008 concernant les frais, dépens et indemnités fixés par le TAF [FITAF, RS 173.320.2]). Ils seront prélevés sur les avances de frais déjà versées de Fr. 10'000.-. Le solde de Fr. 2'500.- sera restitué aux recourants, à raison de 7/24e pour les recourants 1, 2 et 3, soit Fr. 730.-, et de 1/8e pour la recourante 4, soit Fr. 310.-.</w:t>
      </w:r>
    </w:p>
    <w:p>
      <w:r>
        <w:rPr>
          <w:b/>
        </w:rPr>
        <w:t>E. 7.2</w:t>
      </w:r>
    </w:p>
    <w:p>
      <w:r>
        <w:t>Vu l'issue de la cause, il n'est pas alloué de dépens (art. 64 al. 1 a contrario PA et art. 7 al. 1 a contrario FITAF).</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