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F-1776/2022 vom 20. April 2022</w:t>
      </w:r>
    </w:p>
    <w:p>
      <w:r>
        <w:t>Bundesverwaltungsgericht, 2022-04-20, FR</w:t>
      </w:r>
    </w:p>
    <w:p>
      <w:r>
        <w:rPr>
          <w:b/>
        </w:rPr>
        <w:t xml:space="preserve">Quelle: </w:t>
      </w:r>
      <w:r>
        <w:t>https://mcp.opencaselaw.ch/entscheid/bvger_F-1776_2022</w:t>
      </w:r>
    </w:p>
    <w:p>
      <w:r>
        <w:t>FR: TAF F-1776/2022 du 20 avril 2022</w:t>
      </w:r>
    </w:p>
    <w:p>
      <w:r>
        <w:t>IT: TAF F-1776/2022 del 20 aprile 2022</w:t>
      </w:r>
    </w:p>
    <w:p>
      <w:pPr>
        <w:pStyle w:val="Heading2"/>
      </w:pPr>
      <w:r>
        <w:t>Regeste</w:t>
      </w:r>
    </w:p>
    <w:p>
      <w:r>
        <w:t>Asile (non-entrée en matière / procédure Dublin) et renvoi</w:t>
      </w:r>
    </w:p>
    <w:p>
      <w:pPr>
        <w:pStyle w:val="Heading2"/>
      </w:pPr>
      <w:r>
        <w:t>Erwägungen</w:t>
      </w:r>
    </w:p>
    <w:p>
      <w:r>
        <w:rPr>
          <w:b/>
        </w:rPr>
        <w:t>E. 29</w:t>
      </w:r>
    </w:p>
    <w:p>
      <w:r>
        <w:t>juillet 2024, qu’ainsi, et dans la mesure où aucun des critères de compétence retenus aux art. 8 à 11 RD III n'est réalisé en l'espèce, c'est à juste titre que l'autorité intimée a fait application de celui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que, le 25 mars 2022, le Secrétariat d’Etat a dès lors soumis aux autorités allemandes compétentes, dans le délai fixé à l’art. 21 par. 1 RD III, une requête aux fins de prise en charge de la prénommée, fondée sur l’art. 12 par. 2 RD III, qu’en date du 28 mars 2022, soit dans le délai fixé par l’art. 22 par. 1 RD III, lesdites autorités ont expressément accepté de prendre en charge l’intéressée, sur la base de la disposition invoquée par le SEM, que l’Allemagne a ainsi reconnu sa compétence pour traiter la demande d’asile de la recourante, point qui n’est du reste pas contesté, que, cela étant, au vu de l'art. 3 par. 2 al. 2 RD III, il y a lieu tout d'abord d'examiner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w:t>
      </w:r>
    </w:p>
    <w:p>
      <w:r>
        <w:t>F-1776/2022 Page 7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cela n'est manifestement pas le cas s’agissant de l’Allemagne, que, partant, l'application de cette disposition ne se justifie pas en l'espèce, l’intéressée ne le soutenant du reste pas, qu’en revanche, la recourante s'est opposée à son transfert vers l’Allemagne en invoquant la présence de son fils en Suisse ainsi que son état de santé précaire, que, ce faisant, elle a explicitement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w:t>
      </w:r>
    </w:p>
    <w:p>
      <w:r>
        <w:t>F-1776/2022 Page 8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s'agissant tout d'abord de la présence du fils de l'intéressée en Suisse, l'art. 8 CEDH peut conférer un droit de séjour en Suisse à un étranger à condition qu'il entretienne des relations étroites, effectives et intactes avec un membre de sa famille disposant d'un droit de présence assuré en Suisse, qu'à cet égard, les relations familiales protégées sont avant tout celles existant au sein de la famille au sens étroit (famille nucléaire) et, plus particulièrement, entre époux ou entre parents et enfants mineurs vivant en ménage commun, qu'en cas d'intensité suffisante, les relations entre des enfants majeurs et leurs parents ou entre proches parents, tels les frères et sœurs, peuvent aussi tomber dans le champ d'application de la disposition précitée lorsqu'il y a un rapport de dépendance particulier dépassant les relations familiales, respectivement les liens émotionnels, usuels, par exemple en raison d'un handicap ou d'une maladie graves nécessitant une prise en charge permanente (cf. ATF 144 II 1 consid. 6.1 ; 137 I 154 consid. 3.4.2 ; ATAF 2007/45 consid. 5.3), qu'en l'espèce, la recourante a certes exposé que son fils représentait sa seule famille, qu’ils ont eu à endurer une situation difficile en raison de leur séparation et que le SEM n’avait pas contesté leurs liens familiaux dans la mesure où elle avait été autorisée à vivre auprès de lui dans le cadre de sa procédure d’asile, qu'il ne ressort toutefois pas du dossier que la relation entre l'intéressée et son fils majeur reflète des liens personnels étroits et puisse être assimilée à un rapport de dépendance particulier au sens de la jurisprudence précitée, ce d’autant moins qu’ils ont vécu loin l’un de l’autre depuis plus de dix ans,</w:t>
      </w:r>
    </w:p>
    <w:p>
      <w:r>
        <w:t>F-1776/2022 Page 9 que, dans ces conditions, la recourante ne peut se prévaloir d'une vie familiale protégée par l'art. 8 CEDH et son transfert vers l'Allemagne n'emporte pas violation de ladite disposition, qu'à cet égard, il convient encore de rappeler que le règlement Dublin III ne confère pas aux demandeurs d'asile le droit de choisir l'Etat membre offrant, à leur avis, les meilleures conditions d'accueil comme Etat responsable de l'examen de leur demande d'asile (cf. ATAF 2010/45 consid. 8.3), que, concernant les problèmes de santé allégués,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qu’il sied tout d’abord de relever que, n'ayant pas encore sollicité l'asile en Allemagne, il incombera en premier lieu à A._______, à son arrivée sur place, de déposer, dans les meilleurs délais, une demande d'asile auprès des autorités compétentes et de se conformer à leurs instructions, ce qui lui permettra de bénéficier des prestations prévues par la directive Accueil, que, cela dit, le Tribunal retient, à l’instar du SEM, qu’il ne ressort pas du dossier (cf. pièce SEM 14) ni des allégations de la prénommée (cf. pièce SEM 18 et recours) qu’elle souffre de problèmes de santé (stress, attaques de panique, troubles du sommeil) d'une gravité telle que son transfert en Allemagne serait illicite au sens restrictif de la jurisprudence précitée,</w:t>
      </w:r>
    </w:p>
    <w:p>
      <w:r>
        <w:t>F-1776/2022 Page 10 que l’intéressée a certes formulé une offre de preuves à l’appui de son recours, laquelle semble se rapporter à son état de santé, qu’en l’état du dossier, le Tribunal peut toutefois renoncer à procéder à des mesures d'instruction dans la mesure où les preuves administrées et l’ensemble des pièces figurant au dossier lui ont permis de former sa conviction et que, procédant d'une manière non arbitraire à une appréciation anticipée des preuves qui lui sont encore proposées, il a la certitude que ces dernières ne pourraient l'amener à modifier son opinion (cf. ATF 145 I 167 consid. 4.1), qu'en tout état de cause, l'Allemagne, qui est liée par la directive Accueil et qui dispose à l’évidence de structures médicales comparables à la Suisse (cf. arrêt du TAF F-526/2022 du 11 février 2022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le cas où l’intéressée devait avoir besoin de soins particuliers au moment de son transfert vers l’Allemagne, il lui appartiendra d'en informer les autorités suisses chargées de l'exécution de cette mesure ; que, le cas échéant, il incombera à celles-ci de transmettre, sous une forme appropriée, aux autorités allemandes les renseignements permettant une éventuelle prise en charge médicale spécifique (art. 31 et 32 RD III), que, par conséquent, le transfert de la recourante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w:t>
      </w:r>
    </w:p>
    <w:p>
      <w:r>
        <w:t>F-1776/2022 Page 11 pour des raisons tirées du respect, par la Suisse, de ses obligations internationales ou pour des raisons humanitaires, qu’au vu de ce qui précède, c’est à juste titre que le SEM n'est pas entré en matière sur la demande d'asile de la recourante, en application de l'art. 31a al. 1 let. b LAsi, et a prononcé son transfert de la Suisse vers l’Allemagne,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à la dispense du versement d'une avance de frais et à la tenue d’une audience publique en présence du fils de l’intéressée sont sans objet, que, vu l'issue de la cause, il y a lieu de mettre les frais de procédure à la charge de la recourante, conformément à l’art. 63 al. 1 PA et aux art. 2 et 3 let. a FITAF (RS 173.320.2),</w:t>
      </w:r>
    </w:p>
    <w:p>
      <w:r>
        <w:t>(dispositif page suivante)</w:t>
      </w:r>
    </w:p>
    <w:p>
      <w:r>
        <w:t>F-1776/2022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