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F-1771/2020 vom 6. Juli 2020</w:t>
      </w:r>
    </w:p>
    <w:p>
      <w:r>
        <w:t>Bundesverwaltungsgericht, 2020-07-06, DE</w:t>
      </w:r>
    </w:p>
    <w:p>
      <w:r>
        <w:rPr>
          <w:b/>
        </w:rPr>
        <w:t xml:space="preserve">Quelle: </w:t>
      </w:r>
      <w:r>
        <w:t>https://mcp.opencaselaw.ch/entscheid/bvger_F-1771_2020</w:t>
      </w:r>
    </w:p>
    <w:p>
      <w:r>
        <w:t>FR: TAF F-1771/2020 du 6 juillet 2020</w:t>
      </w:r>
    </w:p>
    <w:p>
      <w:r>
        <w:t>IT: TAF F-1771/2020 del 6 luglio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Beschwerdeführer ist Pole und damit Staatsangehöriger einer Vertragspartei des Abkommens vom 21. Juni 1999 zwischen der Schweizerischen Eidgenossenschaft einerseits und der Europäischen Gemeinschaft und ihren Mitgliedstaaten andererseits über die Freizügigkeit (Freizügigkeitsabkommen, FZA, SR 0.142.112.681). Gemäss Art. 2 Abs. 2 AIG ist daher das ordentliche Ausländerrecht - bestehend aus dem Ausländer- und Integrationsgesetz (AIG, SR 142.20) und seinen Ausführungsverordnungen - nur soweit anwendbar, als das FZA keine abweichenden Bestimmungen enthält oder die Bestimmungen des ordentlichen Ausländerrechts günstiger sind.</w:t>
      </w:r>
    </w:p>
    <w:p>
      <w:r>
        <w:rPr>
          <w:b/>
        </w:rPr>
        <w:t>E. 4.1</w:t>
      </w:r>
    </w:p>
    <w:p>
      <w:r>
        <w:t>Das SEM verfügt Einreiseverbote gegenüber weggewiesenen Ausländerinnen und Ausländern, wenn die Wegweisung nach Art. 64d Abs. 2 Bst. a - c des Ausländer- und Integrationsgesetzes (AIG, SR 142.20) sofort vollstreckt wird (Art. 67 Abs. 1 Bst. a AIG) oder die betroffene Person der Ausreiseverpflichtung nicht innert Frist nachgekommen ist (Art. 67 Abs. 1 Bst. b AIG). Es kann sodann nach Art. 67 Abs. 2 AIG Einreiseverbote gegen ausländische Personen erlassen, die gegen die öffentliche Sicherheit und Ordnung in der Schweiz oder im Ausland verstossen haben oder diese gefährden (Art. 67 Abs. 2 Bst. a AIG). Das Einreiseverbot wird grundsätzlich für eine Dauer von höchstens fünf Jahren verhängt. Es kann für eine längere Dauer verfügt werden, wenn die betroffene Person eine schwerwiegende Gefahr für die öffentliche Sicherheit und Ordnung darstellt (Art. 67 Abs. 3 AIG). Die verfügende Behörde kann aus humanitären oder anderen wichtigen Gründen von der Verhängung eines Einreiseverbots absehen oder ein Einreiseverbot vollständig oder vorübergehend aufheben (Art. 67 Abs. 5 AIG).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der Verordnung über Zulassung, Aufenthalt und Erwerbstätigkeit vom 24. Oktober 2007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etwa BVGE 2017 VII/2 E. 4.4).</w:t>
      </w:r>
    </w:p>
    <w:p>
      <w:r>
        <w:rPr>
          <w:b/>
        </w:rPr>
        <w:t>E. 5.1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(Gerichtshof, EuGH) (Art. 16 Abs. 2 FZA). In diesem Sinne schränkt das Freizügigkeitsabkommen die ausländerrechtlichen Befugnisse nationaler Behörden bei der Handhabung ausländerrechtlicher Massnahmen wie des Einreiseverbots ein.</w:t>
      </w:r>
    </w:p>
    <w:p>
      <w:r>
        <w:rPr>
          <w:b/>
        </w:rPr>
        <w:t>E. 5.2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w:t>
      </w:r>
    </w:p>
    <w:p>
      <w:r>
        <w:rPr>
          <w:b/>
        </w:rPr>
        <w:t>E. 5.3</w:t>
      </w:r>
    </w:p>
    <w:p>
      <w:r>
        <w:t>Innerhalb der vom Gemeinschaftsrecht gezogenen Grenzen sind die Vertragsstaaten grundsätzlich frei festzulegen, welche Verhaltensweisen sie als Störung ihrer Grundinteressen betrachten. Eine solche gemeinschafsrechtliche Schranke erblickt der Gerichtshof im primärrechtlichen Verbot der Diskriminierung aufgrund der Staatsangehörigkeit (heute: Art. 18 Vertrag über die Arbeitsweise der Europäischen Union; vgl. die analoge Bestimmung des Art. 2 FZA). Demnach kann ein Mitgliedstaat das Verhalten des Staatsangehörigen eines anderen Mitgliedstaates dann nicht als hinreichend schwer betrachten, wenn er gegenüber dem gleichen Verhalten eigener Staatsangehöriger keine Zwangs- oder andere tatsächliche und effektive Massnahmen zur Bekämpfung dieses Verhaltens ergreift (vgl. Urteile des EuGH vom 18.5.1989, Kommission/Deutschland, 249/86, EU:C:1989:204, Rn. 19, und vom 18.5.1982, Adoui und Cornuaille, 115/81 und 116/81, EU:C:1982:183, Rn. 8).</w:t>
      </w:r>
    </w:p>
    <w:p>
      <w:r>
        <w:rPr>
          <w:b/>
        </w:rPr>
        <w:t>E. 6.1</w:t>
      </w:r>
    </w:p>
    <w:p>
      <w:r>
        <w:t>Das SEM begründete das einjährige Einreiseverbot damit, dass der Beschwerdeführer am 22. März 2020 mit dem Zug in Kreuzlingen illegal in die Schweiz eingereist sei. Anlässlich der Kontrolle habe er weder einen Aufenthaltstitel noch eine Meldebestätigung vorweisen können. Auch habe er zugegeben, vorgängig an einem anderen Grenzübergang abgewiesen worden zu sein. Ferner habe er angegeben, bereits seit Dezember 2019 ohne entsprechenden Aufenthaltstitel in der Schweiz gewesen zu sein und dass er damals mangels Arbeit keinen Aufenthaltstitel beantragt habe. Es müsse davon ausgegangen werden, dass sich der Beschwerdeführer weit über den bewilligungsfreien Aufenthalt hinaus in der Schweiz aufgehalten und er zudem gegen die Covid-19-Verordnung verstossen habe. Konkrete Anzeichen wiesen ferner darauf hin, dass er sich einer Ausschaffung entziehen werde (Art. 67 Abs. 1 Bst. a i.V.m. Art. 64d Abs. 2 Bst. b AIG). Damit liege gleichzeitig ein Verstoss gegen die Einreisevoraussetzungen des Ausländerrechts vor, womit eine ernsthafte Gefährdung der öffentlichen Sicherheit und Ordnung einhergehe (Art. 67 Abs. 2 Bst. a AIG). Der Erlass einer Fernhaltemassnahme erweise sich daher als angezeigt, verhältnismässig und gerechtfertigt.</w:t>
      </w:r>
    </w:p>
    <w:p>
      <w:r>
        <w:rPr>
          <w:b/>
        </w:rPr>
        <w:t>E. 6.2</w:t>
      </w:r>
    </w:p>
    <w:p>
      <w:r>
        <w:t>Der Beschwerdeführer verweist in der Rechtsmitteleingabe einleitend auf seinen Voraufenthalt hierzulande. Ab 2005 sei er in der Schweiz wohnhaft gewesen und habe bis 2017 eine Aufenthaltsgenehmigung besessen. Weil er das Land für länger als sechs Monate verlassen habe, sei er dieser verlustig gegangen. Auch seine Schweizer Mutter sowie der Rest seiner Familie lebten seit Jahren in der Schweiz. Dass er die Einreiseregel missachtet habe, tue ihm leid. Zur fraglichen Zeit sei er im Besitze eines Arbeitsvertrages mit dem Unternehmen «Y.______ GmbH» gewesen; das Arbeitsverhältnis hätte am 23. März 2020 begonnen. Er habe beabsichtigt, sich mit diesem Arbeitsvertrag an genanntem Datum auf die Gemeinde zu begeben, um die erforderliche Anmeldebestätigung zu erhalten. Nach 18-stündiger Fahrt in Richtung Schweiz sei er frustriert gewesen, als ihm am 22. März 2020 die Einreise untersagt worden sei, weshalb er es an einem anderen Grenzübergang versucht habe. Der Vorwurf, sich seit Dezember 2019 illegal in der Schweiz aufgehalten zu haben, treffe hingegen nicht zu. Er habe über Weihnachten seine Mutter besucht und sich bei dieser Gelegenheit zwecks Erhalts der Anmeldebestätigung um eine Arbeitsstelle bemüht, was leider nicht gelungen sei. Seine frühere Anwesenheit hierzulande (seit Dezember 2019) gründe im Übrigen in der Krankheit der Mutter, welche an Platzangst leide.</w:t>
      </w:r>
    </w:p>
    <w:p>
      <w:r>
        <w:rPr>
          <w:b/>
        </w:rPr>
        <w:t>E. 7.1</w:t>
      </w:r>
    </w:p>
    <w:p>
      <w:r>
        <w:t>Aus den Akten geht hervor, dass der Beschwerdeführer am 22. März 2020 beabsichtigte, sich mit seinem Personenwagen von Polen in die Schweiz zu begeben. Am frühen Abend wurde er im Raum Schaffhausen an der Schweizer Grenze zurückgewiesen, worauf er auf deutschem Gebiet bis nach Konstanz weiterfuhr. Dort parkierte er sein Auto und gelangte kurz nach 21 Uhr mit der Bahn nach Kreuzlingen, wo ihn zwei Personen erwarteten. Nachdem er in deren Fahrzeug eingestiegen war, wurde er von der Grenzwache kontrolliert. Hierbei räumte er ein, bereits an einem anderen Ort versucht zu haben, die Schweizer Grenze zu passieren. Als Grund für die Einreise gab er an, am folgenden Tag eine Stelle anzutreten. Den nicht unterschriebenen Arbeitsvertrag konnte er auf dem iPhone vorweisen. Eine der beiden Personen, welche den Beschwerdeführer am Bahnhof Kreuzlingen abholten wollten, ist auf dem fraglichen Arbeitsvertrag als Arbeitgeber aufgeführt (SEM act. 2). Damit liegt ein Fehlverhalten vor, welches von der Covid-19-Verordnung, konkret der Verordnung 2 über Massnahmen zur Bekämpfung des Coronavirus vom 13. März 2020 (Covid-19-Verordnung 2, SR 818.101.24), erfasst wird und mit einem Einreiseverbot geahndet werden kann. Auch die unangefochten gebliebene, in Anwendung von Art. 64d Abs. 2 AIG ergangene Wegweisungsverfügung des Grenzwachtkorps Thurgau vom 22. März 2020 wird mit «Corona» begründet (siehe BVGer act. 3). Das SEM nimmt in diesem Zusammenhang Bezug auf den Fernhaltegrund von Art. 67 Abs. 1 Bst. a AIG. Nicht in der angefochtenen Verfügung figuriert der ebenfalls eingestandene Verstoss gegen das Waffengesetz. Laut Polizeirapport vom 22. März 2020 trug die angehaltene Person zum fraglichen Zeitpunkt einen sogenannten Kubotan auf sich, einen kurzen Stock, der als Schlüsselanhänger konzipiert ist, als Schlag- und Stichwaffe dient und laut Schweizer Gesetzgebung den verbotenen Waffen zugeordnet wird (SEM act. 2). Insoweit ist der Sachverhalt aktenmässig hinreichend erstellt.</w:t>
      </w:r>
    </w:p>
    <w:p>
      <w:r>
        <w:rPr>
          <w:b/>
        </w:rPr>
        <w:t>E. 7.2</w:t>
      </w:r>
    </w:p>
    <w:p>
      <w:r>
        <w:t>Anders verhält es sich mit dem vorinstanzlichen Vorwurf, der Beschwerdeführer habe sich weit über den bewilligungsfreien Aufenthalt hinaus in der Schweiz aufgehalten (angefochtene Verfügung) bzw. sich mehr als 90 Tage ohne Bewilligung (Vernehmlassung) hierzulande aufgehalten. Das Freizügigkeitsabkommen vermittelt den Vertragsausländern ein Recht auf Einreise in die Schweiz und nachfolgendem Aufenthalts bis zu drei Monaten. Dieses Recht kann nur von der Vorlage eines gültigen Reisepapiers abhängig gemacht werden (vgl. Art. 3 FAZ i.V.m. Art. 1 Abs. 1 Anhang I FZA; zum Ordre-public-Vorbehalt siehe E. 7.3 hiernach). Der Betroffene wurde am 22. März 2020 bei der versuchten Einreise in die Schweiz kontrolliert. Hierbei wies er sich mit einer echten, gültigen polnischen Identitätskarte aus. Anlässlich der informellen Befragung sagte er aus, seit Dezember in der Schweiz gewesen zu sein. Nähere zeitliche Angaben hierzu finden sich im Polizeirapport gleichen Datums nicht, ebenso wenig stellte die Grenzwache entsprechende Nachfragen (SEM act. 2). In der Rechtsmitteleingabe ergänzte der Beschwerdeführer, über Weihnachten seine unter einer Angststörung leidende Mutter besucht zu haben. Gleichzeitig habe er sich um eine Arbeitsstelle und eine Anmeldebestätigung bemüht (BVGer act. 1). An anderer Stelle führte er aus, sein früherer Aufenthalt in der Schweiz («seit Dezember 2019») sei auch auf die Krankheit seiner Mutter zurückzuführen (BVGer act. 1). Zum genauen Einreisedatum äusserte er sich nicht. Demzufolge lässt sich nicht abschliessend beurteilen, ob und allenfalls in welchem Umfang er sich des illegalen Aufenthalts schuldig gemacht hat. Die Frage kann angesichts der nachfolgenden Ausführungen indes offengelassen werden.</w:t>
      </w:r>
    </w:p>
    <w:p>
      <w:r>
        <w:rPr>
          <w:b/>
        </w:rPr>
        <w:t>E. 7.3</w:t>
      </w:r>
    </w:p>
    <w:p>
      <w:r>
        <w:t>Das SEM hat sich weder in der angefochtenen Verfügung noch in der Vernehmlassung zum Freizügigkeitsabkommen geäussert. Wie erwähnt (E. 5.2), dürfen Rechte, welche das Freizügigkeitsabkommen den aus ihm berechtigten Personen einräumt, aber aus Gründen der öffentlichen Sicherheit, Ordnung und Gesundheit unter gewissen Voraussetzungen eingeschränkt werden. Vorliegend hat der Beschwerdeführer zweifellos gesetzliche Bestimmungen missachtet. Dies genügt jedoch nicht, um die verhängte Massnahme vor dem Freizügigkeitsabkommen bestehen zu lassen; vielmehr stellt sich die Frage, ob die drohende Gefährdung der öffentlichen Ordnung derart schwer wiegt, dass sie im Widerspruch zu den Grundinteressen der Gesellschaft steht. Die Schweiz auferlegt sich insbesondere dann grosse Zurückhaltung, wenn Verstösse gegen ausländerrechtliche Bestimmungen zur Diskussion stehen, welche der Personenfreizügigkeit vorläufig Schranken setzen (siehe etwa Urteile des BVGer F-1148/1151/1153/2017 vom 7. Juli 2017 S 5, F-5670/2016 vom 14. März 2017 E. 5.3 oder C-8670/201 vom 7. November 2012 E. 7.5 m.H.). Die Vorinstanz führt in ihren Weisungen zu Fernhaltemassnahmen im Bereich ausländerrechtlicher Zuwiderhandlungen aus, die Anordnung eines Einreiseverbots bleibe in ausserordentlich schweren Fällen von Schwarzarbeit grundsätzlich möglich (vgl. Ziff. 10.4.2 der Weisungen und Erläuterungen des SEM zur Verordnung über die Einführung des freien Personenverkehrs [Stand: April 2020], abrufbar unter: www.sem.admin.ch/sem/de/home/publiservice/weisungen-kreisschreiben/fza.html).</w:t>
      </w:r>
    </w:p>
    <w:p>
      <w:r>
        <w:rPr>
          <w:b/>
        </w:rPr>
        <w:t>E. 7.4</w:t>
      </w:r>
    </w:p>
    <w:p>
      <w:r>
        <w:t>Der Beschwerdeführer wollte am 22. März 2020 von Deutschland in die Schweiz einreisen. Nachdem er an einem offiziellen Grenzübergang im Raum Schaffhausen zurückgewiesen worden war, versuchte er es ein paar Stunden später in Konstanz nochmals. Mit diesem Verhalten hat er gegen die damals aufgrund der Covid-19-Verordnung 2 geltenden Einreisebeschränkungen verstossen. Im Kontext der geschilderten Praxis liegt allerdings auf der Hand, dass der ausländerrechtliche Unrechtsgehalt dieser Umgehungsversuche weder in quantitativer noch in qualitativer Hinsicht die für freizügigkeitsbeschränkende Massnahmen notwendige Schwere erreicht. Dies gilt nicht zuletzt mit Blick auf die konkreten Umstände. So konnte der Beschwerdeführer bei der Anhaltung einen Arbeitsvertrag vorweisen (vgl. Beilage zu BVGer act. 1), er wurde vom künftigen Arbeitgeber abgeholt und für eine rechtmässige Einreise fehlte einzig die Anmeldebestätigung. Zudem war die Covid-19-Verordnung 2 erst wenige Tage zuvor in Kraft getreten und die fraglichen Einreisebeschränkungen wurden inzwischen, per 22. Juni 2020, wieder aufgehoben. Seither sind sämtliche Freizügigkeitsrechte wiederhergestellt. Das Vorliegen eines schweren Falles lässt sich ebenso wenig mit dem illegalen Aufenthalt begründen, wie die Vorinstanz in ihrer Vernehmlassung zu argumentieren scheint (BVGer act. 3). Zum einen ist der diesbezügliche Sachverhalt bestritten, zum anderen vermöchte selbst eine illegale Anwesenheit der dem Beschwerdeführer vorgeworfenen Dauer im Lichte des Freizügigkeitsabkommens keine solche Massnahme zu rechtfertigen.</w:t>
      </w:r>
    </w:p>
    <w:p>
      <w:r>
        <w:rPr>
          <w:b/>
        </w:rPr>
        <w:t>E. 7.5</w:t>
      </w:r>
    </w:p>
    <w:p>
      <w:r>
        <w:t>Auch sonst sind keine Vorfälle aktenkundig, die geeignet sein könnten, freizügigkeitsbeschränkende Massnahmen nach sich zu ziehen. So handelt es sich beim Kubotan, welchen der Beschwerdeführer beim Einreiseversuch am 22. März 2020 auf sich trug, um eine Waffe zur Selbstverteidigung, die in Deutschland und Österreich nicht verboten ist. Der Beschwerdeführer wollte den Gegenstand angeblich für die Arbeit als Lüftungsmonteur verwenden. Es ist mithin von einem geringen Störungspotential auszugehen. Der sich ausserdem in den Akten befindliche Strafbefehl vom 20. September 2012 schliesslich betrifft eine Verurteilung des Beschuldigten zu einer unbedingten Geldstrafe von 90 Tagessätzen à Fr. 30.- wegen einfacher Körperverletzung (SEM act. 1) und liegt für den Erlass einer Fernhaltemassnahme nur schon zeitlich viel zu weit zurück (vgl. hierzu auch F-5670/2018 E. 6.1). Bei dieser Sachlage wird die bisher nicht behandelte Beweisofferte hinsichtlich Klärung des Gesundheitszustandes der Mutter gegenstandslos.</w:t>
      </w:r>
    </w:p>
    <w:p>
      <w:r>
        <w:rPr>
          <w:b/>
        </w:rPr>
        <w:t>E. 8</w:t>
      </w:r>
    </w:p>
    <w:p>
      <w:r>
        <w:t>Das Bundesverwaltungsgericht gelangt daher zum Schluss, dass das Verhalten des Beschwerdeführers keine hinreichende Gefährdung der öffentlichen Ordnung begründet, welche die Grundinteressen der Gesellschaft berührt. Das gegen den Beschwerdeführer verhängte Einreiseverbot hält somit vor dem Freizügigkeitsabkommen nicht stand.</w:t>
      </w:r>
    </w:p>
    <w:p>
      <w:r>
        <w:rPr>
          <w:b/>
        </w:rPr>
        <w:t>E. 9</w:t>
      </w:r>
    </w:p>
    <w:p>
      <w:r>
        <w:t>Aus diesen Erwägungen ergibt sich, dass die angefochtene Verfügung bundesrechtswidrig ist (Art. 49 Bst. a VwVG). Die Beschwerde ist daher gutzuheissen.</w:t>
      </w:r>
    </w:p>
    <w:p>
      <w:r>
        <w:rPr>
          <w:b/>
        </w:rPr>
        <w:t>E. 10</w:t>
      </w:r>
    </w:p>
    <w:p>
      <w:r>
        <w:t>Bei diesem Ausgang des Verfahrens sind weder dem Beschwerdeführer noch der Vorinstanz Kosten aufzuerlegen (Art. 63 Abs. 1 und 2 VwVG). Eine Parteientschädigung ist nicht zuzusprechen, da dem nicht anwaltlich vertretenen Beschwerdeführer keine verhältnismässig hohen Kosten erwachsen sind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