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F-176/2022 vom 17. Januar 2022</w:t>
      </w:r>
    </w:p>
    <w:p>
      <w:r>
        <w:t>Bundesverwaltungsgericht, 2022-01-17, DE</w:t>
      </w:r>
    </w:p>
    <w:p>
      <w:r>
        <w:rPr>
          <w:b/>
        </w:rPr>
        <w:t xml:space="preserve">Quelle: </w:t>
      </w:r>
      <w:r>
        <w:t>https://mcp.opencaselaw.ch/entscheid/bvger_F-176_2022</w:t>
      </w:r>
    </w:p>
    <w:p>
      <w:r>
        <w:t>FR: TAF F-176/2022 du 17 janvier 2022</w:t>
      </w:r>
    </w:p>
    <w:p>
      <w:r>
        <w:t>IT: TAF F-176/2022 del 17 gennaio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w:t>
      </w:r>
    </w:p>
    <w:p>
      <w:r>
        <w:t>F-176/2022 Seite 8 dass ausserdem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dass der Beschwerdeführer kein konkretes und ernsthaftes Risiko darge- tan hat, die deutschen Behörden würden sich weigern, ihn wieder aufzu- nehmen und in der Folge seinen Antrag auf internationalen Schutz unter Einhaltung der Regeln der Verfahrensrichtlinie zu prüfen, dass den Akten auch keine Gründe für die Annahme zu entnehmen sind, Deutschland würde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auch nicht dargetan hat, die ihn bei einer Rück- führung erwartenden Bedingungen in Deutschland seien derart schlecht, dass sie zu einer Verletzung von Art. 4 der EU-Grundrechtecharta, Art. 3 EMRK oder Art. 3 FoK führen könnten, dass es im Weiteren auch keine konkreten Hinweise für die Annahme gibt, Deutschland würde ihm dauerhaft die ihm gemäss Aufnahmerichtlinie zu- stehenden minimalen Lebensbedingungen vorenthalten, dass es ihm bei einer allfälligen vorübergehenden Einschränkung offen- steht, sich an die zuständigen deutschen Behörden zu wenden und die ihm zustehenden Aufnahmebedingungen auf dem Rechtsweg einzufordern (vgl. Art. 26 Aufnahmerichtlinie), dass keine konkreten Anhaltspunkte dafür ersichtlich sind, der Beschwer- deführer geriete im Falle einer Wegweisung nach Deutschland wegen der dortigen Aufenthaltsbedingungen in eine existenzielle Notlage, dass er die Möglichkeit hat, bei allfälligen Schwierigkeiten die dafür zustän- digen Behörden beziehungsweise die vor Ort tätigen karitativen Organisa- tionen zu kontaktieren,</w:t>
      </w:r>
    </w:p>
    <w:p>
      <w:r>
        <w:t>F-176/2022 Seite 9 dass es sich bei Deutschland um einen Rechtsstaat mit funktionierendem Justizsystem handelt, weshalb es dem Beschwerdeführer auch freisteht, sich an die zuständigen Stellen zu wenden, sollte er sich von den deut- schen Behörden ungerecht oder rechtswidrig behandelt fühlen, dass auch nichts darauf hindeutet, die deutschen Behörden würden ihn in seine Heimat zurückschaffen, ohne zuvor seine Asylgründe geprüft zu ha- ben und das Non-Refoulement-Gebot einzuhalten, dass nach dem Gesagten die Anwendung von Art. 3 Abs. 2 Dublin-III-VO nicht gerechtfertigt ist und auch keine individuellen völkerrechtlichen Über- stellungshindernisse gegeben sind, dass es sich unter diesen Umständen erübrigt, die in der Beschwerde in Aussicht gestellten Unterlagen abzuwarten, dass der Beschwerdeführer beim Dublin-Gespräch vom 3. Januar 2022, als er zum medizinischen Sachverhalt befragt wurde, erklärte, es gehe ihm gesundheitlich gut, dass es ihm psychisch momentan besser gehe, früher sei er ein bisschen gestresst gewesen, dass das SEM ihn darüber informierte, er könne sich bei Bedarf beim Ge- sundheitsdienst melden, dass weder im vorinstanzlichen Verfahren noch auf Beschwerdeebene me- dizinische Unterlagen eingereicht wurden, dass keine medizinischen Probleme bekannt sind, weshalb davon auszu- gehen ist, eine Überstellung des Beschwerdeführers nach Deutschland stelle keine Verletzung von Art. 3 EMRK dar, dass es der Vollständigkeit halber jedoch darauf hinzuweisen gilt, dass Deutschland über eine ausreichende medizinische Infrastruktur verfügt (vgl. etwa Urteil des BVGer F-3111/2021 vom 28. Oktober 2021 E. 9.4), weshalb sich der Beschwerdeführer bei allenfalls auftretenden gesundheit- lichen Beeinträchtigungen an das zuständige Fachpersonal wenden kann, dass in der Beschwerde nicht näher begründet wird, inwiefern die Vorin- stanz das rechtliche Gehör verletzt haben sollte, und eine Gehörsverlet- zung denn auch aus den Akten nicht ersichtlich ist,</w:t>
      </w:r>
    </w:p>
    <w:p>
      <w:r>
        <w:t>F-176/2022 Seite 10 dass damit für eine Rückweisung der Sache an die Vorinstanz kein Anlass besteht und der entsprechende Subeventualantrag abzuweisen ist,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 dass in seinem Fall ebenso keine Gründe ersichtlich sind, welche die Vor- instanz zu einem Selbsteintritt gemäss Art. 17 Dublin-III-VO beziehungs- weise Art. 29a Abs. 3 AsylV 1 hätten verpflichten können, dass die Vorinstanz nach dem Gesagten zu Recht auf das Asylgesuch des Beschwerdeführers nicht eingetreten ist und seine Wegweisung verfügt hat (vgl. Art. 31a Abs. 1 Bst. b und Art. 44 AsylG), dass die Beschwerde folglich abzuweisen ist, dass mit dem vorliegenden Urteil in der Hauptsache der Antrag auf Ertei- lung der aufschiebenden Wirkung und das Gesuch um Verzicht auf die Er- hebung eines Kostenvorschusses gegenstandslos geworden sind, dass der am 14. Januar 2022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 währung der unentgeltlichen Prozessführung im Sinne von Art. 65 Abs. 1 VwVG unbesehen der geltend gemachten Bedürftigkeit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F-176/2022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