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F-1763/2021 vom 17. Oktober 2022</w:t>
      </w:r>
    </w:p>
    <w:p>
      <w:r>
        <w:t>Bundesverwaltungsgericht, 2022-10-17, FR</w:t>
      </w:r>
    </w:p>
    <w:p>
      <w:r>
        <w:rPr>
          <w:b/>
        </w:rPr>
        <w:t xml:space="preserve">Quelle: </w:t>
      </w:r>
      <w:r>
        <w:t>https://mcp.opencaselaw.ch/entscheid/bvger_F-1763_2021</w:t>
      </w:r>
    </w:p>
    <w:p>
      <w:r>
        <w:t>FR: TAF F-1763/2021 du 17 octobre 2022</w:t>
      </w:r>
    </w:p>
    <w:p>
      <w:r>
        <w:t>IT: TAF F-1763/2021 del 17 ottobre 2022</w:t>
      </w:r>
    </w:p>
    <w:p>
      <w:pPr>
        <w:pStyle w:val="Heading2"/>
      </w:pPr>
      <w:r>
        <w:t>Regeste</w:t>
      </w:r>
    </w:p>
    <w:p>
      <w:r>
        <w:t>Assistance administrative</w:t>
      </w:r>
    </w:p>
    <w:p>
      <w:pPr>
        <w:pStyle w:val="Heading2"/>
      </w:pPr>
      <w:r>
        <w:t>Erwägungen</w:t>
      </w:r>
    </w:p>
    <w:p>
      <w:r>
        <w:rPr>
          <w:b/>
        </w:rPr>
        <w:t>E. 5</w:t>
      </w:r>
    </w:p>
    <w:p>
      <w:r>
        <w:t>5.1.1 Pour ce qui est des conditions de fond, la recourante se prévaut d'une violation de la pertinence vraisemblable et de l'interdiction de la pêche aux renseignements. Elle relève en substance une incertitude quant aux documents fournis par la banque X._______ à l'AFC, étant donné que deux numéros bancaires sont mentionnés, notamment dans l'annexe A. Elle soutient également ne pas être la bénéficiaire économique du compte concerné. 5.1.2 A cet égard, il convient de renvoyer la recourante à la décision finale de l'AFC du 11 mars 2021 (point 3.3). En effet, comme déjà indiqué par l'autorité inférieure, le numéro (...) correspond à la relation bancaire alors que le numéro (...) se rapporte au numéro de compte bancaire concerné. A ce sujet, il a été précisé par l'AFC que certains comptes visés par la demande des autorités françaises sont des comptes internes à la banque X._______, qui permettent à celle-ci d'identifier et de lier le client à un compte principal portant un autre numéro. En outre, l'intéressée ne saurait prétendre méconnaître ce compte, dès lors qu'il ressort de l'annexe A que cette dernière en est l'ayant droit économique et qu'aucun argument susceptible de mettre en doute la véracité des informations fournies n'a été apporté (cf. décision finale point 8bis). 5.1.3 En outre,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qui constitue une « demande collective » (cf. consid. 4.2 supra)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5.1.4 Dès lors que la Cour de céans est tenue de se fonder sur les considérants de l'arrêt en cause et ne peut s'écarter de l'argumentation juridique du Tribunal fédéral, il y a lieu de retenir que les arguments invoqués par la recourante ne permettent pas de conclure que la demande litigieuse constituerait une fishing expedition et violerait le principe de la pertinence vraisemblable.</w:t>
      </w:r>
    </w:p>
    <w:p>
      <w:r>
        <w:rPr>
          <w:b/>
        </w:rPr>
        <w:t>E. 6.1</w:t>
      </w:r>
    </w:p>
    <w:p>
      <w:r>
        <w:t>Vu les considérants qui précèdent, le recours est rejeté. La recourante,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