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F-1758/2021 vom 7. Juni 2022</w:t>
      </w:r>
    </w:p>
    <w:p>
      <w:r>
        <w:t>Bundesverwaltungsgericht, 2022-06-07, FR</w:t>
      </w:r>
    </w:p>
    <w:p>
      <w:r>
        <w:rPr>
          <w:b/>
        </w:rPr>
        <w:t xml:space="preserve">Quelle: </w:t>
      </w:r>
      <w:r>
        <w:t>https://mcp.opencaselaw.ch/entscheid/bvger_F-1758_2021</w:t>
      </w:r>
    </w:p>
    <w:p>
      <w:r>
        <w:t>FR: TAF F-1758/2021 du 7 juin 2022</w:t>
      </w:r>
    </w:p>
    <w:p>
      <w:r>
        <w:t>IT: TAF F-1758/2021 del 7 giugno 2022</w:t>
      </w:r>
    </w:p>
    <w:p>
      <w:pPr>
        <w:pStyle w:val="Heading2"/>
      </w:pPr>
      <w:r>
        <w:t>Regeste</w:t>
      </w:r>
    </w:p>
    <w:p>
      <w:r>
        <w:t>Assistance administrative</w:t>
      </w:r>
    </w:p>
    <w:p>
      <w:pPr>
        <w:pStyle w:val="Heading2"/>
      </w:pPr>
      <w:r>
        <w:t>Erwägungen</w:t>
      </w:r>
    </w:p>
    <w:p>
      <w:r>
        <w:rPr>
          <w:b/>
        </w:rPr>
        <w:t>E. 7.1</w:t>
      </w:r>
    </w:p>
    <w:p>
      <w:r>
        <w:t>Quant aux conditions de fond, les recourants se prévalent d'une violation de la condition de la pertinence vraisemblable et de l'interdiction de la pêche aux renseignements. Ils font en substance valoir qu'ils ne constituent pas des contribuables français, dès lors que le siège social de la société B._______ Inc. se situe aux Bahamas et que A._______ est domicilié en Suisse depuis 1991 et est résident fiscal suisse depuis près de 30 ans. Ainsi, le code de « domizil » français dont se prévaut l'AFC n'a en l'occurrence aucun fondement et ne correspond pas à la réalité. La présomption avancée par l'AFC selon laquelle le compte bancaire concerné par la présente procédure est effectivement lié à des contribuables français a ainsi été renversée. La condition de la pertinence vraisemblable des informations n'est ainsi pas donnée, de sorte que la demande d'assistance formée par l'autorité requérante constitue une pêche aux renseignements (cf. mémoire de recours, ch. 87 ss p. 27 ss).</w:t>
      </w:r>
    </w:p>
    <w:p>
      <w:r>
        <w:rPr>
          <w:b/>
        </w:rPr>
        <w:t>E. 7.2</w:t>
      </w:r>
    </w:p>
    <w:p>
      <w:r>
        <w:t>En l'occurrence, dans l'ATF 146 II 150, le Tribunal fédéral a jugé d'une manière qui lie la Cour de céans (ci-avant consid. 2.3)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6.2 supra) - répondait aux trois critères développés par la jurisprudence en lien avec les demandes groupées, applicables par analogie aux « demandes collectives », permettant d'exclure l'existence d'une fishing expedition (ci-avant consid. 4.6.2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7.3</w:t>
      </w:r>
    </w:p>
    <w:p>
      <w:r>
        <w:t>En outre,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l'Etat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7.4</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4.10).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7.5</w:t>
      </w:r>
    </w:p>
    <w:p>
      <w:r>
        <w:t>Il sied encore de relever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recourants figurent avec un code domicile français « 111 » dans la liste Excel annexée à la requête du 11 mai 2016, il y a lieu de retenir que le critère d'assujettissement invoqué par l'Etat requérant dans le cas d'espèce, à savoir celui du domicile, est apparemment plausible ; la question de savoir s'il entre en concurrence avec un critère d'assujettissement de l'Etat tiers dans lequel les recourants font valoir avoir eu un domicile ou un siège fiscalement durant la période sous contrôle n'a pas à être examinée par la Cour de céans.</w:t>
      </w:r>
    </w:p>
    <w:p>
      <w:r>
        <w:rPr>
          <w:b/>
        </w:rPr>
        <w:t>E. 7.6</w:t>
      </w:r>
    </w:p>
    <w:p>
      <w:r>
        <w:t>Partant, le grief relatif au domicile invoqué par les recourants doit être écarté.</w:t>
      </w:r>
    </w:p>
    <w:p>
      <w:r>
        <w:rPr>
          <w:b/>
        </w:rPr>
        <w:t>E. 8.1</w:t>
      </w:r>
    </w:p>
    <w:p>
      <w:r>
        <w:t>Vu les considérants qui précèdent, le recours est rejeté. Les recourants, qui succombent, doivent supporter, en tant que débiteurs solidaires, les frais de procédure, lesquels se montent, compte tenu de la charge de travail liée à la procédure, à Fr. 5'000.- (cf. l'art. 63 al. 1 PA et art. 4 et 6a du règlement du 21 février 2008 concernant les frais, dépens et indemnités fixés par le TAF [FITAF, RS 173.320.2]). Ils seront prélevés sur l'avance de frais déjà versée d'un même montant.</w:t>
      </w:r>
    </w:p>
    <w:p>
      <w:r>
        <w:rPr>
          <w:b/>
        </w:rPr>
        <w:t>E. 8.2</w:t>
      </w:r>
    </w:p>
    <w:p>
      <w:r>
        <w:t>Etant donnée l'issue de la cause, il n'est pas alloué de dépens (art. 64 al. 1 PA et art. 7 al. 1 FITAF a contrario).</w:t>
      </w:r>
    </w:p>
    <w:p>
      <w:r>
        <w:rPr>
          <w:b/>
        </w:rPr>
        <w:t>E. 9</w:t>
      </w:r>
    </w:p>
    <w:p>
      <w:r>
        <w:t>En réponse à la conclusion numéro 12 formulée dans le mémoire de recours, il y a lieu de préciser que les informations qui seront transmises à l'autorité requérante sont celles qui sont citées expressément dans le dispositif de la décision attaquée. Il ne sera dès lors pas procédé à l'envoi d'autres pièces ou informations à l'autorité française, comme semblent le craindre les recourants. S'agissant enfin de la conclusion formulée par les intéressés concernant l'anonymisation du présent arrêt, la Cour de céans se réfère à l'art. 29 al. 2 LTAF, aux termes duquel les arrêts rendus par le TAF sont, en principe, publiés sous une forme anonyme. Conformément à ce principe, il sera donc procédé à l'anonymisation du présent arrêt avant sa publication.</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