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F-1755/2021 vom 9. Februar 2022</w:t>
      </w:r>
    </w:p>
    <w:p>
      <w:r>
        <w:t>Bundesverwaltungsgericht, 2022-02-09, FR</w:t>
      </w:r>
    </w:p>
    <w:p>
      <w:r>
        <w:rPr>
          <w:b/>
        </w:rPr>
        <w:t xml:space="preserve">Quelle: </w:t>
      </w:r>
      <w:r>
        <w:t>https://mcp.opencaselaw.ch/entscheid/bvger_F-1755_2021</w:t>
      </w:r>
    </w:p>
    <w:p>
      <w:r>
        <w:t>FR: TAF F-1755/2021 du 9 février 2022</w:t>
      </w:r>
    </w:p>
    <w:p>
      <w:r>
        <w:t>IT: TAF F-1755/2021 del 9 febbraio 2022</w:t>
      </w:r>
    </w:p>
    <w:p>
      <w:pPr>
        <w:pStyle w:val="Heading2"/>
      </w:pPr>
      <w:r>
        <w:t>Regeste</w:t>
      </w:r>
    </w:p>
    <w:p>
      <w:r>
        <w:t>Assistance administrative</w:t>
      </w:r>
    </w:p>
    <w:p>
      <w:pPr>
        <w:pStyle w:val="Heading2"/>
      </w:pPr>
      <w:r>
        <w:t>Erwägungen</w:t>
      </w:r>
    </w:p>
    <w:p>
      <w:r>
        <w:rPr>
          <w:b/>
        </w:rPr>
        <w:t>E. 5.1</w:t>
      </w:r>
    </w:p>
    <w:p>
      <w:r>
        <w:t>Pour ce qui est des conditions de fond, le recourant argue que les informations bancaires relatives à l'année 2010 devraient être exclues de l'assistance administrative, dans l'hypothèse où celle-ci serait accordée en l'espèce. Il allègue que, dans la mesure où certaines informations que l'autorité inférieure prévoit de transmettre à la DGFiP concernent l'année 2010, la prescription décennale serait vraisemblablement, respectivement prochainement, atteinte en vertu du droit français. En tout état de cause, l'Etat requérant aurait dû, à cet égard, rendre plausible le but fiscal invoqué. Ces renseignements ne rempliraient donc pas la condition de la pertinence vraisemblable.</w:t>
      </w:r>
    </w:p>
    <w:p>
      <w:r>
        <w:rPr>
          <w:b/>
        </w:rPr>
        <w:t>E. 5.2</w:t>
      </w:r>
    </w:p>
    <w:p>
      <w:r>
        <w:t>La Cour de céans relève que le grief soulevé par le recourant concerne la procédure interne menée dans l'Etat requérant.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cf. aussi arrêts du TAF A-4669/2016 du 8 décembre 2017 consid. 2.7 ; A-4025/2016 du 2 mai 2017 consid. 3.2.6 avec les nombreuses références citées). Or, déterminer si les impôts dus pour la période fiscale 2010 sont prescrits ou non est une question de fond qui devra être invoquée devant les autorités françaises compétentes, puis tranchée par celles-ci. En effet, ni l'AFC ni le TAF n'ont à examiner des objections liées au bien-fondé de la procédure fiscale conduite à l'étranger, ni à s'interroger sur d'éventuels obstacles - comme une éventuelle prescription - qui, en application du droit interne de l'Etat requérant, empêcheraient l'utilisation des renseignements obtenus. Au demeurant, il sied de rappeler que, dans l'appréciation de la pertinence vraisemblable des informations demandées, le rôle de l'Etat requis se limite à un contrôle de la plausibilité (cf. supra, consid. 2.3).</w:t>
      </w:r>
    </w:p>
    <w:p>
      <w:r>
        <w:rPr>
          <w:b/>
        </w:rPr>
        <w:t>E. 5.3</w:t>
      </w:r>
    </w:p>
    <w:p>
      <w:r>
        <w:t>Partant, il n'incombe pas à la Suisse de se déterminer sur une éventuelle prescription des impôts concernant l'année 2010. Il appartient en revanche au recourant de faire valoir cet argument devant les autorités compétentes de l'Etat requérant. Son grief est donc écarté.</w:t>
      </w:r>
    </w:p>
    <w:p>
      <w:r>
        <w:rPr>
          <w:b/>
        </w:rPr>
        <w:t>E. 6.1</w:t>
      </w:r>
    </w:p>
    <w:p>
      <w:r>
        <w:t>Vu les considérants qui précèdent, le recours est rejeté. Le recourant, qui succombe, doit supporter les frais de procédure, lesquels se montent, compte tenu de la charge de travail liée à la procédure, à Fr. 5'000.-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