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F-1732/2025 vom 1. April 2025</w:t>
      </w:r>
    </w:p>
    <w:p>
      <w:r>
        <w:t>Bundesverwaltungsgericht, 2025-04-01, FR</w:t>
      </w:r>
    </w:p>
    <w:p>
      <w:r>
        <w:rPr>
          <w:b/>
        </w:rPr>
        <w:t xml:space="preserve">Quelle: </w:t>
      </w:r>
      <w:r>
        <w:t>https://mcp.opencaselaw.ch/entscheid/bvger_F-1732_2025</w:t>
      </w:r>
    </w:p>
    <w:p>
      <w:r>
        <w:t>FR: TAF F-1732/2025 du 1 avril 2025</w:t>
      </w:r>
    </w:p>
    <w:p>
      <w:r>
        <w:t>IT: TAF F-1732/2025 del 1 aprile 2025</w:t>
      </w:r>
    </w:p>
    <w:p>
      <w:pPr>
        <w:pStyle w:val="Heading2"/>
      </w:pPr>
      <w:r>
        <w:t>Regeste</w:t>
      </w:r>
    </w:p>
    <w:p>
      <w:r>
        <w:t>Attribution d'un demandeur d'asile à un canton</w:t>
      </w:r>
    </w:p>
    <w:p>
      <w:pPr>
        <w:pStyle w:val="Heading2"/>
      </w:pPr>
      <w:r>
        <w:t>Erwägungen</w:t>
      </w:r>
    </w:p>
    <w:p>
      <w:r>
        <w:rPr>
          <w:b/>
        </w:rPr>
        <w:t>E. 1.1</w:t>
      </w:r>
    </w:p>
    <w:p>
      <w:r>
        <w:t>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Tribunal est régie par la PA, à moins que la LTAF ou la LAsi n'en disposent autrement (art. 37 LTAF en relation avec les art. 6 et 105 LAsi).</w:t>
      </w:r>
    </w:p>
    <w:p>
      <w:r>
        <w:rPr>
          <w:b/>
        </w:rPr>
        <w:t>E. 1.2</w:t>
      </w:r>
    </w:p>
    <w:p>
      <w:r>
        <w:t>La recourante a qualité pour recourir (art. 48 al. 1 PA). Présenté dans la forme (art. 52 al. 1 PA) et le délai (art. 108 al. 2 in fine LAsi) prescrits par la loi, son recours est sur ces points recevable.</w:t>
      </w:r>
    </w:p>
    <w:p>
      <w:r>
        <w:rPr>
          <w:b/>
        </w:rPr>
        <w:t>E. 2.1</w:t>
      </w:r>
    </w:p>
    <w:p>
      <w:r>
        <w:t>En vertu de l'art. 27 al. 3 LAsi, disposition qui constitue une lex specialis par rapport à la règle générale ancrée à l'art. 106 al. 1 LAsi (cf. art. 106 al. 2 LAsi), les décisions rendues en matière d'attribution cantonale de requérants d'asile ne peuvent être attaquées que pour violation du principe de l'unité de la famille (cf. ATAF 2008/47 consid. 1.2). Les griefs formels invoqués dans le cadre d'une telle procédure ne sont recevables que pour autant qu'ils se rapportent au principe de l'unité de la famille (cf. ATAF 2008/47 consid. 1.3 ; ATAF 2009/54 consid. 1.3.1, et 2008/47 consid. 4.1.1 à 4.1.4).</w:t>
      </w:r>
    </w:p>
    <w:p>
      <w:r>
        <w:rPr>
          <w:b/>
        </w:rPr>
        <w:t>E. 2.2</w:t>
      </w:r>
    </w:p>
    <w:p>
      <w:r>
        <w:t>En l'espèce, l'intéressée a fait valoir une violation de l'unité de la famille au sens de l'art. 27 al. 3 LAsi, de sorte que le présent recours entre dans le pouvoir de cognition du Tribunal (cf. F-4974/2022 du 17 novembre 2022 consid. 4).</w:t>
      </w:r>
    </w:p>
    <w:p>
      <w:r>
        <w:rPr>
          <w:b/>
        </w:rPr>
        <w:t>E. 3</w:t>
      </w:r>
    </w:p>
    <w:p>
      <w:r>
        <w:t>Sous réserve de ce qui précède, le Tribunal applique le droit d'office, sans être lié par les motifs invoqués par les parties (art. 62 al. 4 PA), ni par les considérants juridiques de la décision attaquée (cf. ATAF 2014/24 consid. 2.2 ; 2009/57 consid. 1.2 ; voir également arrêt du Tribunal fédéral [ci-après : TF] 1C_214/2015 du 6 novembre 2015 consid. 2.2.2). Aussi peut-il admettre ou rejeter le recours pour d'autres motifs que ceux invoqués.</w:t>
      </w:r>
    </w:p>
    <w:p>
      <w:r>
        <w:rPr>
          <w:b/>
        </w:rPr>
        <w:t>E. 4.1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w:t>
      </w:r>
    </w:p>
    <w:p>
      <w:r>
        <w:rPr>
          <w:b/>
        </w:rPr>
        <w:t>E. 4.2</w:t>
      </w:r>
    </w:p>
    <w:p>
      <w:r>
        <w:t>L'autorité a également le devoir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5.1</w:t>
      </w:r>
    </w:p>
    <w:p>
      <w:r>
        <w:t>Selon l'art. 27 al. 3 LAsi, le SEM attribue le requérant d'asile à un canton. Ce faisant, il prend en considération les intérêts légitimes du canton et du requérant. Il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w:t>
      </w:r>
    </w:p>
    <w:p>
      <w:r>
        <w:rPr>
          <w:b/>
        </w:rPr>
        <w:t>E. 5.2</w:t>
      </w:r>
    </w:p>
    <w:p>
      <w:r>
        <w:t>Le requérant ne peut attaquer la décision d'attribution cantonale que pour violation du principe de l'unité de la famille (art. 27 al. 3 in fine LAsi). En règle générale, on entend par famille les conjoints et leurs enfants mineurs, les partenaires enregistrés, les personnes qui vivent en concubinage de manière durable étant assimilées aux conjoints (art. 1a let. e OA 1).</w:t>
      </w:r>
    </w:p>
    <w:p>
      <w:r>
        <w:rPr>
          <w:b/>
        </w:rPr>
        <w:t>E. 5.3</w:t>
      </w:r>
    </w:p>
    <w:p>
      <w:r>
        <w:t>L'art. 27 al. 3 3ème phr. LAsi a été introduit dans la loi eu égard aux exigences des art. 8 et 13 CEDH, dans le but d'ouvrir un droit au recours en cas de séparation des membres d'une même famille en Suisse (cf. Message du Conseil fédéral du 4 décembre 1995, FF 1996 II 1, spéc. p. 54, voir également ATAF 2008/47 consid. 1.3.2).</w:t>
      </w:r>
    </w:p>
    <w:p>
      <w:r>
        <w:rPr>
          <w:b/>
        </w:rPr>
        <w:t>E. 5.4</w:t>
      </w:r>
    </w:p>
    <w:p>
      <w:r>
        <w:t>L'étendue de la protection assurée par le principe de l'unité de la famille arrêté à l'art. 27 al. 3 LAsi ne dépasse pas celle de la notion correspondante de l'art. 8 par. 1 CEDH (cf. ATAF 2008/47 consid. 4.1). Cette dernière disposition vise à protéger principalement les relations existant au sein de la famille au sens étroit (« famille nucléaire ») et, plus particulièrement, « entre époux » et « entre parents et enfants mineurs » vivant en ménage commun (cf. ATF 140 I 77 consid. 5.2, ATF 137 I 113 consid. 6.1 et ATAF 2008/47 consid. 4.1.1 et réf. cit).</w:t>
      </w:r>
    </w:p>
    <w:p>
      <w:r>
        <w:rPr>
          <w:b/>
        </w:rPr>
        <w:t>E. 5.5</w:t>
      </w:r>
    </w:p>
    <w:p>
      <w:r>
        <w:t>D'autres liens familiaux ou de parentés peuvent également être protégés, à la condition toutefois que l'étranger se trouve dans un rapport de dépendance particulier vis-à-vis de la personne établie en Suisse, en raison, par exemple, d'un handicap ou d'une maladie grave rendant irremplaçable l'assistance permanente d'un proche dans sa vie quotidienne. L'extension de la protection de l'art. 8 CEDH suppose un lien de dépendance comparable à celui qui unit la famille nucléaire et en particulier des parents à leurs enfants mineurs. En l'absence de handicap ou de maladie grave, l'examen doit se faire en fonction notamment de l'âge de la personne concernée, de ses capacités et son dégrée de maturité. Ces mêmes critères doivent être pris en considération par le SEM lorsqu'il attribue à un canton un mineur non accompagné. Il prend en outre en compte les circonstances individuelles, notamment l'histoire personnelle et parcours migratoire du mineur (cf. ATF 139 II 393 consid. 5.1, ATAF 2009/8 consid. 5.3.2 et 8.5, ATAF 2008/47 consid. 4.1.1 et ATAF 2007/45 consid. 5.3 ; arrêt du Tribunal E-5913/2010 consid. 3.5 ; cf. également Emilia Antonioni Luftensteiner in : Code annoté de droit des migrations, 2015, art. 27 LAsi ch. 18, p. 245).</w:t>
      </w:r>
    </w:p>
    <w:p>
      <w:r>
        <w:rPr>
          <w:b/>
        </w:rPr>
        <w:t>E. 6.1</w:t>
      </w:r>
    </w:p>
    <w:p>
      <w:r>
        <w:t>En l'espèce, à son arrivée en Suisse, la recourante a indiqué être mineure. Elle a déclaré souhaiter être attribuée au canton de Genève, où vit la tante de son demi-frère, la seule personne qu'elle connaisse en Suisse et qui puisse lui fournir un réconfort face à son vécu douloureux. Lors de ses auditions, la recourante a en effet exposé son histoire personnelle et notamment déclaré avoir été maltraitée dans son enfance. Elevée jusqu'à l'âge de huit ans par sa grand-mère, elle aurait été excisée, forcée à travailler et soumise à des punitions sévères lorsqu'elle n'arrivait pas à exécuter ses tâches. Elle aurait fui la Somalie pour échapper à un mariage forcé auquel elle aurait été destinée. Il ressort en outre du dossier que lors de son parcours migratoire, l'intéressée aurait pu être victime de la TEH en Lybie, ce à quoi la représentante juridique de l'intéressée a d'ailleurs rendu le SEM attentif.</w:t>
      </w:r>
    </w:p>
    <w:p>
      <w:r>
        <w:rPr>
          <w:b/>
        </w:rPr>
        <w:t>E. 6.2</w:t>
      </w:r>
    </w:p>
    <w:p>
      <w:r>
        <w:t>Le 12 décembre 2024, le SEM a informé l'intéressée de ce qu'elle allait être considérée comme majeure pour la suite de la procédure et que sa date de naissance allait être modifiée dans le SYMIC. Or, il ressort du dossier que suite à l'exercice par l'intéressée de son droit d'être entendue, aucune modification n'a été entreprise. Toutes les communications du SEM postérieures au 12 décembre 2024 continuent en effet à faire apparaître l'intéressée comme mineure. Il en va ainsi par exemple de la demande de prise en charge adressée par les SEM aux autorités italiennes le 13 décembre 2024 laquelle indique même expressément qu'il est possible que l'intéressée soit mineure. Enfin, la décision attaquée, rendue le 5 mars 2025, indique également que cette dernière est née en 2009.</w:t>
      </w:r>
    </w:p>
    <w:p>
      <w:r>
        <w:rPr>
          <w:b/>
        </w:rPr>
        <w:t>E. 6.3</w:t>
      </w:r>
    </w:p>
    <w:p>
      <w:r>
        <w:t>Le Tribunal constate que dans la décision attaquée, le SEM s'est limité à observer, dans une motivation particulièrement succincte, que l'intéressée n'avait pas « apporté la preuve d'une relation familiale digne de protection ». Tout en continuant à indiquer que l'intéressée serait née en 2009, l'autorité inférieure n'a toutefois aucunement abordé la question de la vulnérabilité liée à son jeune âge ; de même, elle a, malgré les indices d'un parcours traumatisant, complétement passé sous silence le vécu personnel de la recourante et n'a pas examiné l'existence d'une éventuelle dépendance entre cette dernière et sa « tante ». Dans ces circonstances, la motivation de la décision attaquée doit être tenue pour incomplète sur des points essentiels (consid. 5.5) et cette dernière doit être annulée pour ce motif déjà.</w:t>
      </w:r>
    </w:p>
    <w:p>
      <w:r>
        <w:rPr>
          <w:b/>
        </w:rPr>
        <w:t>E. 6.4</w:t>
      </w:r>
    </w:p>
    <w:p>
      <w:r>
        <w:t>Au vu de ce qui précède, il appert que la décision du 5 mars 2025 est entachée d'un vice formel, de sorte qu'il y a lieu d'admettre le présent recours, d'annuler la décision du 5 mars 2025 et de renvoyer la cause au SEM pour nouvelle décision dûment motivée (art. 61 al. 1 PA).</w:t>
      </w:r>
    </w:p>
    <w:p>
      <w:r>
        <w:rPr>
          <w:b/>
        </w:rPr>
        <w:t>E. 6.5</w:t>
      </w:r>
    </w:p>
    <w:p>
      <w:r>
        <w:t>S'avérant manifestement fondé, le recours est admis dans une procédure à juge unique, avec l'approbation d'un second juge (art. 111 let. e LAsi). Le présent arrêt n'est motivé que sommairement (art. 111a al. 1 et 2 LAsi). Dans la mesure où il a été immédiatement statué sur le fond, la demande tendant à l'octroi de mesures provisionnelles devient sans objet.</w:t>
      </w:r>
    </w:p>
    <w:p>
      <w:r>
        <w:rPr>
          <w:b/>
        </w:rPr>
        <w:t>E. 7.1</w:t>
      </w:r>
    </w:p>
    <w:p>
      <w:r>
        <w:t>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dont l'issue reste ouverte. Selon la jurisprudence, dans une telle constellation, il y a lieu de considérer que la partie recourante a obtenu gain de cause (cf. ATF 146 V 28 consid. 7). Il n'est dès lors pas perçu de frais de procédure. Il s'ensuit que les demandes de dispense d'avance de frais et d'assistance judiciaire partielle, déposées simultanément au recours, sont également devenues sans objet. Selon l'art. 64 al. 1 PA, l'autorité de recours peut allouer, d'office ou sur requête, à la partie ayant entièrement ou partiellement gain de cause une indemnité pour les frais indispensables et relativement élevés qui lui ont été occasionnés. En l'espèce, la recourante est assistée par la représentante juridique qui lui a été attribuée par le prestataire mandaté par le SEM, conformément à l'art. 102f LAsi. Il n'y a donc pas lieu d'allouer de dépens, étant au demeurant relevé que la recourante n'a pas déposé de conclusion dans ce sens.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