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F-1728/2021 vom 25. April 2022</w:t>
      </w:r>
    </w:p>
    <w:p>
      <w:r>
        <w:t>Bundesverwaltungsgericht, 2022-04-25, FR</w:t>
      </w:r>
    </w:p>
    <w:p>
      <w:r>
        <w:rPr>
          <w:b/>
        </w:rPr>
        <w:t xml:space="preserve">Quelle: </w:t>
      </w:r>
      <w:r>
        <w:t>https://mcp.opencaselaw.ch/entscheid/bvger_F-1728_2021</w:t>
      </w:r>
    </w:p>
    <w:p>
      <w:r>
        <w:t>FR: TAF F-1728/2021 du 25 avril 2022</w:t>
      </w:r>
    </w:p>
    <w:p>
      <w:r>
        <w:t>IT: TAF F-1728/2021 del 25 aprile 2022</w:t>
      </w:r>
    </w:p>
    <w:p>
      <w:pPr>
        <w:pStyle w:val="Heading2"/>
      </w:pPr>
      <w:r>
        <w:t>Regeste</w:t>
      </w:r>
    </w:p>
    <w:p>
      <w:r>
        <w:t>Assistance administrative</w:t>
      </w:r>
    </w:p>
    <w:p>
      <w:pPr>
        <w:pStyle w:val="Heading2"/>
      </w:pPr>
      <w:r>
        <w:t>Erwägungen</w:t>
      </w:r>
    </w:p>
    <w:p>
      <w:r>
        <w:rPr>
          <w:b/>
        </w:rPr>
        <w:t>E. 5.1</w:t>
      </w:r>
    </w:p>
    <w:p>
      <w:r>
        <w:t>Pour ce qui est des conditions de fond, les recourantes arguent en premier lieu que les informations les concernant ne rempliraient pas la condition de la pertinence vraisemblable car dans sa décision du 12 mars 2021, l'AFC aurait fait référence à l'arrêt du TAF A-1562/2018 du 3 août 2020, dans lequel il aurait été refusé de rejeter la demande d'assistance administrative sur la base du critère de la résidence. Le critère de rattachement du domicile serait donc erroné. Par ailleurs, les recourantes font valoir que l'Etat requérant a expliqué avoir comparé les informations transmises par les autorités allemandes avec les données et informations reçues précédemment de l'AFC, ainsi qu'avec les numéros de compte des contribuables ayant régularisé leur situation auprès de l'Administration fiscale française. Ayant pu recouper sur cette base 4'782 comptes avec des contribuables français, l'Etat requérant avait requis des informations pour les autres 40'379 numéros techniques pour lesquels aucun recoupement n'avait pu être établi avec un contribuable français. Or, les autorités de ce pays devaient procéder à un contrôle dans la mesure où l'attribution du code « domizil » à un numéro de compte est aléatoire et qu'aucune explication ne permettait d'établir la véracité de ce code et les modalités de son attribution à un compte, respectivement à un contribuable. Ainsi, en sollicitant sur cette base des informations au sujet d'environ 40'000 numéros techniques sans être en mesure d'identifier un titulaire, l'Etat requérant excédait le cadre de l'échange de renseignements. Le procédé utilisé par les autorités françaises reposait ainsi sur des données aléatoires dépourvues de fiabilité - en particulier par rapport au domicile de la personne concernée - en vue d'obtenir des renseignements sur un grand nombre de contribuables. Dès lors, l'Etat requérant violait le principe de proportionnalité en procédant à une « pêche aux renseignements ».</w:t>
      </w:r>
    </w:p>
    <w:p>
      <w:r>
        <w:rPr>
          <w:b/>
        </w:rPr>
        <w:t>E. 5.1.1</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recourantes ne permettent pas de conclure que la demande litigieuse constituerait une fishing expedition et violerait le principe de la pertinence vraisemblable</w:t>
      </w:r>
    </w:p>
    <w:p>
      <w:r>
        <w:rPr>
          <w:b/>
        </w:rPr>
        <w:t>E. 5.1.2</w:t>
      </w:r>
    </w:p>
    <w:p>
      <w:r>
        <w:t>En outre, la jurisprudence a clairement établi qu'au stade de l'assistance administrative, la question de la résidence de la personne concernée par la procédure d'entraide n'a pas à être tranchée par l'Etat requis (cf. ATF 142 II 161 consid. 2.2.2 in fine, 142 II 218 consid. 3.6; arrêt du TAF A-907/2017 du 14 novembre 2017 consid. 2.4). L'assistance administrative en matière fiscale ne dépend pas du domicile de la personne concernée. Au contraire, la probabilité que la personne concernée soit soumise à une obligation fiscale limitée ou illimitée dans l'État requérant pendant la période concernée suffit (voir arrêt du TAF A-6290/2017 du 12 octobre 2018 consid. 4.3.2 [décision confirmée par arrêt du TF 2C_999/2018 du 14 novembre 2018].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(cf. ATF 142 II 161 consid. 2.2.2, arrêt du TAF A-4977/2016 du 13 février 2018 consid. 3.3.6).</w:t>
      </w:r>
    </w:p>
    <w:p>
      <w:r>
        <w:rPr>
          <w:b/>
        </w:rPr>
        <w:t>E. 5.1.3</w:t>
      </w:r>
    </w:p>
    <w:p>
      <w:r>
        <w:t>De surcroît, la détermination de la résidence fiscale au plan international est une question de fond qui n'a, pour ce motif également,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(cf. supra consid. 2.9). Dans ces circonstances, l'éventuelle existence d'une résidence fiscale dans un autre Etat que l'Etat requérant n'a ne permet pas de remettre en question la bonne foi de ce dernier laquelle reste donc présumée. Il y a également lieu de préciser qu'il ne s'agit pas non plus d'un élément qui rendrait la demande d'assistance administrative manifestement erronée ou incomplète (ATF 142 II 218 consid. 3.7 ; cf. aussi arrêt du TAF A-6589/2016 du 6 mars 2018 consid. 4.7.4).</w:t>
      </w:r>
    </w:p>
    <w:p>
      <w:r>
        <w:rPr>
          <w:b/>
        </w:rPr>
        <w:t>E. 5.1.4</w:t>
      </w:r>
    </w:p>
    <w:p>
      <w:r>
        <w:t>Il sied encore de relever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les recourantes figurent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les recourantes font valoir avoir eu un domicile fiscalement durant la période sous contrôle n'a pas à être examinée par la Cour de céans. Partant, le premier grief relatif au domicile - et à la violation du principe de proportionnalité y relatif - invoqué par les recourantes doit être rejeté.</w:t>
      </w:r>
    </w:p>
    <w:p>
      <w:r>
        <w:rPr>
          <w:b/>
        </w:rPr>
        <w:t>E. 5.2.1</w:t>
      </w:r>
    </w:p>
    <w:p>
      <w:r>
        <w:t>Au moyen d'un deuxième grief, les recourantes reprochent à l'autorité inférieure d'accéder à une demande d'assistance sans avoir clarifié l'ensemble des faits et d'avoir procédé en possible violation du principe de la bonne foi et de l'art. 7 let. c LAAF. Cette question juridique n'ayant pas été traitée dans l'ATF 146 II 150, il convient par conséquent de l'examiner plus en détail dans la présente cause. A l'appui de leur grief, les recourantes avancent que l'arrêt du TAFA-1534/2018 du 3 août 2020 ne permet pas de clarifier l'ensemble des circonstances factuelles ayant conduit à l'obtention par l'Etat requérant d'informations sur les relations bancaires d'un établissement suisse, de la présence de ces données hors de Suisse et à leur saisie. Un tel éclaircissement permettrait d'éviter que la transmission d'informations puisse contrevenir à l'art. 7 let. c LAAF.</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X._______ Deutschland AG] à Y._______. Le serveur de sauvegarde comprenait des sauvegardes des ordinateurs des employés de la banque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la banque X._______ Deutschland AG à Y._______ et auprès d'autres sites d'X._______ en Allemagne. Lors de la perquisition au siège de la banque X._______ Deutschland AG à Y._______,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5.2.2.1</w:t>
      </w:r>
    </w:p>
    <w:p>
      <w:r>
        <w:t>Quant à l'existence d'un lien de causalité entre les données prétendument volées et la demande d'assistance administrative dont se prévalent les recourantes,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Partant, le grief tiré de la violation du principe de la bonne foi en lien avec l'utilisation de données volées doit être rejeté.</w:t>
      </w:r>
    </w:p>
    <w:p>
      <w:r>
        <w:rPr>
          <w:b/>
        </w:rPr>
        <w:t>E. 5.3.1</w:t>
      </w:r>
    </w:p>
    <w:p>
      <w:r>
        <w:t>Dans un troisième grief, les recourantes avancent que les principes de spécialité et de la confiance ne seraient pas respectés dans le cas d'espèce. A l'appui de leur grief, elles arguent, en lien avec les courriers des 11 juillet 2017 et janvier 2020, que les assurances recueillies par l'AFC auprès de la DGFiP concernant l'utilisation des données fiscales, issues de l'assistance, seraient insuffisantes. Elles ne permettraient en rien de constater que lesdites données ne seraient pas utilisées par la France dans le cadre de toute autre procédure, notamment pénale, y compris contre des tiers.</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X._______. Toutefois, on ne saurait déduire a contrario que l'autorité requérante entendrait violer le principe de spécialité à l'égard des recourantes. En effet, ni les éléments du dossier ni les affirmations des recourantes - formulées de manière hypothétique - ne prouvent, ni même n'étayent, le fait prétendu que les informations relatives aux recourantes pourraient être utilisées en violation du principe de spécialité. La garantie formulée par la DGFiP doit aussi être comprise à l'aune du caractère collectif de la demande qu'elle a présentée le 11 mai 2016 et concerne ainsi aussi des clients ou ex-clients de la banque X._______. Il n'y a donc pas lieu de retenir que les renseignements relatifs au recourant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des recourantes quant à une violation du principe de spécialité à leur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5.4.1</w:t>
      </w:r>
    </w:p>
    <w:p>
      <w:r>
        <w:t>Quant au grief de la violation du principe de subsidiarité et du principe de la bonne foi, les recourantes invoquent que l'Etat requérant a présenté dans un même document un état de fait général, sans aucune référence à des contrôles ou enquêtes en cours auprès de contribuables déterminés. Il aurait été incapable de démontrer que, pour chaque demande individuelle, les sources habituelles de renseignement prévues par sa procédure fiscale interne ont été utilisées.</w:t>
      </w:r>
    </w:p>
    <w:p>
      <w:r>
        <w:rPr>
          <w:b/>
        </w:rPr>
        <w:t>E. 5.4.2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5.4.3</w:t>
      </w:r>
    </w:p>
    <w:p>
      <w:r>
        <w:t>À ce propos, le Tribunal relève que l'autorité requérante a indiqué dans le courrier d'accompagnement de sa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les recourantes. De plus, aucun élément en l'espèce ne justifie de reconsidérer la bonne foi de l'autorité inférieure quant aux conditions dans lesquelles la demande d'assistance administrative a été déposée. Compte tenu de ce qui précède, le respect du principe de subsidiarité et du principe de la bonne foi doit être considéré comme donné.</w:t>
      </w:r>
    </w:p>
    <w:p>
      <w:r>
        <w:rPr>
          <w:b/>
        </w:rPr>
        <w:t>E. 6.1</w:t>
      </w:r>
    </w:p>
    <w:p>
      <w:r>
        <w:t>Vu les considérants qui précèdent, le recours est rejeté. Les recourantes, qui succombent, doivent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