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F-1727/2021 vom 28. April 2023</w:t>
      </w:r>
    </w:p>
    <w:p>
      <w:r>
        <w:t>Bundesverwaltungsgericht, 2023-04-28, FR</w:t>
      </w:r>
    </w:p>
    <w:p>
      <w:r>
        <w:rPr>
          <w:b/>
        </w:rPr>
        <w:t xml:space="preserve">Quelle: </w:t>
      </w:r>
      <w:r>
        <w:t>https://mcp.opencaselaw.ch/entscheid/bvger_F-1727_2021</w:t>
      </w:r>
    </w:p>
    <w:p>
      <w:r>
        <w:t>FR: TAF F-1727/2021 du 28 avril 2023</w:t>
      </w:r>
    </w:p>
    <w:p>
      <w:r>
        <w:t>IT: TAF F-1727/2021 del 28 aprile 2023</w:t>
      </w:r>
    </w:p>
    <w:p>
      <w:pPr>
        <w:pStyle w:val="Heading2"/>
      </w:pPr>
      <w:r>
        <w:t>Regeste</w:t>
      </w:r>
    </w:p>
    <w:p>
      <w:r>
        <w:t>Assistance administrative</w:t>
      </w:r>
    </w:p>
    <w:p>
      <w:pPr>
        <w:pStyle w:val="Heading2"/>
      </w:pPr>
      <w:r>
        <w:t>Erwägungen</w:t>
      </w:r>
    </w:p>
    <w:p>
      <w:r>
        <w:rPr>
          <w:b/>
        </w:rPr>
        <w:t>E. 5.1.1</w:t>
      </w:r>
    </w:p>
    <w:p>
      <w:r>
        <w:t>Sur le fond, le recourant s'est tout d'abord prévalu d'une violation du principe de la pertinence vraisemblable et de l'interdiction de la pêche aux renseignements. Selon lui, les informations le concernant ne remplissaient pas la condition de la pertinence vraisemblable. En effet, le Tribunal fédéral s'était basé sur un échantillon d'environ 365 personnes figurant sur la liste A pour en déduire que les 45'000 personnes figurant sur les deux autres listes avaient vraisemblablement manqué à leurs obligations fiscales. Or cette manière de faire était hautement critiquable et ne permettait pas, en l'état du dossier, d'exclure le caractère de « fishing expedition » ; aussi, des investigations complémentaires s'avéraient nécessaires. D'autre part, le recourant a soutenu qu'il n'était pas le véritable ayant-droit économique des fonds du compte B._______***.</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Compte tenu de ce qui précède, la conclusion préalable du recourant visant à ce qu'il soit ordonné à l'autorité inférieure d'obtenir des « données à jour de la DGFiP, afin de déterminer si l'analyse des listes "A", "B" et "C" permet encore aujourd'hui de faire peser un soupçon global sur les cas de la liste "B" et "C" » doit être rejetée. Il convient au demeurant de rappeler que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140 I 285 consid. 6.3.1 et les références). Tel est bien le cas en l'espèce.</w:t>
      </w:r>
    </w:p>
    <w:p>
      <w:r>
        <w:rPr>
          <w:b/>
        </w:rPr>
        <w:t>E. 5.1.4</w:t>
      </w:r>
    </w:p>
    <w:p>
      <w:r>
        <w:t>S'agissant de la qualité d'ayant-droit économique du recourant, le Tribunal relève que ce dernier n'a pas produit, à l'appui de son grief, les éléments de preuve suffisants à remettre en cause la validité des informations fournies par B._______. Dès lors que le numéro du compte bancaire qui apparaît sur la liste (anonyme) dont dispose l'autorité française (cf. dossier de l'AFC, pce 2) est le même que celui qui apparaît sur le tableau remis par la banque B._______, le Tribunal n'a aucune raison valable de douter de la validité des informations transmises par la banque. En tout état de cause, il reviendra au recourant de se prévaloir de ce grief par-devant les autorités françaises.</w:t>
      </w:r>
    </w:p>
    <w:p>
      <w:r>
        <w:rPr>
          <w:b/>
        </w:rPr>
        <w:t>E. 5.2.1</w:t>
      </w:r>
    </w:p>
    <w:p>
      <w:r>
        <w:t>Au moyen d'un deuxième grief, le recourant a reproché à l'autorité inférieure d'avoir accédé à une demande d'assistance basée sur des données volées, en violation du principe de la bonne foi et de l'art. 7 let. c LAAF. Il a avancé que la demande du 11 mai 2016 reposait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de B._______ Switzerland par un ancien employé de la banque. Selon lui, il existait un lien de causalité entre ces actes punissables et l'obtention par la France des données sur lesquelles était fondée la demande litigieuse, dès lors que, sans le transfert illicite de données de B._______ Switzerland dans les serveurs de B._______ Deutschland et sans l'achat dudit CD, aucune perquisition n'aurait pu avoir lieu et les données fondant la requête du 11 mai 2016 n'auraient pas été découvertes. Cette question juridique n'ayant pas été traitée dans l'ATF 146 II 150, il sied par conséquent de l'examiner dans la présente cause. A la lumière de cet examen, il conviendra ensuite de se déterminer sur la requête préalable du recourant visant à accéder à certaines pièces - prétendument pertinentes pour apprécier la bonne foi de l'Etat requérant - relevant d'autres procédures qui sont mentionnées dans la décision attaquée mais qui ne figurent pas au dossier de l'AFC.</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à Francfort. Le serveur de sauvegarde comprenait des sauvegardes des ordinateurs des employés de B._______ Deutschland,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à Francfort et auprès d'autres sites de B._______ en Allemagne. Lors de la perquisition au siège de la banque B._______ Deutschland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B._______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de B._______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tels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5.2.2 supra).</w:t>
      </w:r>
    </w:p>
    <w:p>
      <w:r>
        <w:rPr>
          <w:b/>
        </w:rPr>
        <w:t>E. 5.2.4.1</w:t>
      </w:r>
    </w:p>
    <w:p>
      <w:r>
        <w:t>Dans ce contexte, le recourant a également invité le Tribunal à ordonner à l'AFC de produire les pièces mentionnées dans la décision attaquée auxquelles il n'aurait pas eu accès, à savoir toute pièce en connexité avec les procédures pénales liées à la présente procédure et celles relatives aux déclarations des autorités fiscales allemandes et du parquet de Bochum.</w:t>
      </w:r>
    </w:p>
    <w:p>
      <w:r>
        <w:rPr>
          <w:b/>
        </w:rPr>
        <w:t>E. 5.2.4.2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5.2.4.3</w:t>
      </w:r>
    </w:p>
    <w:p>
      <w:r>
        <w:t>Force est ici de constater - au vu de tout ce qui précède - que les pièces en connexité avec les procédures pénales liées à la présente procédure et celles relatives aux déclarations des autorités fiscales allemandes et du parquet de Bochum n'ont aucune incidence dans le cas d'espèce sur l'évaluation des conditions matérielles de la requête faite par la DGFiP (cf. consid. 5.2.3 supra). De surcroît,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il y a lieu de rejeter la conclusion du recourant tendant à la production desdites pièces par l'AFC.</w:t>
      </w:r>
    </w:p>
    <w:p>
      <w:r>
        <w:rPr>
          <w:b/>
        </w:rPr>
        <w:t>E. 5.3.1</w:t>
      </w:r>
    </w:p>
    <w:p>
      <w:r>
        <w:t>Le recourant a également soutenu que le principe de spécialité n'était pas respecté dans le cas d'espèce. En substance, il a argué que l'assurance tardive du 11 juillet 2017, selon laquelle les informations transmises seraient utilisées uniquement dans un contexte fiscal, avait été donnée par les autorités françaises bien avant la suppression, par le Parlement français, du « verrou de Bercy ». En bref, ce mécanisme, qui visait la protection des intérêts du contribuable français, permettait de réserver le monopole du dépôt de plaintes pour fraude fiscale au ministre du budget. Le texte adopté en 2018 par le Parlement français prévoyait désormais un mécanisme de transmission automatique au parquet pour les seules affaires dans lesquelles les droits appliqués atteignent 100'000 Euros. Le recourant en conclut que les assurances données par la France seraient insuffisantes à la lumière du principe de spécialité.</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B._______,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B._______. Toutefois, on ne saurait déduire a contrario que l'autorité requérante entendrait violer le principe de spécialité à l'égard du recourant. En effet, ni les éléments du dossier ni les affirmations du recourant s'agissant notamment de la suppression du « verrou de Bercy » - formulées de manière hypothétique - ne prouvent, ni même n'étayent, le fait prétendu que les informations relatives au recourant pourraient être utilisées en violation du principe de spécialité. La garantie formulée par la DGFiP doit aussi être comprise à l'aune du caractère collectif de la demande qu'elle a présentée le 11 mai 2016 et concerne ainsi aussi des clients ou ex-clients de la banque B._______.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du recourant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Le recourant a finalement fait valoir une violation de l'art. 2 par. 3 de l'accord 2014, lequel prévoit que les demandes groupées sont admises pour les renseignements relatifs à des faits survenus à partir du 1er février 2013. Ce faisant, il a critiqué l'argumentation développée à ce sujet par le Tribunal fédéral dans son ATF 146 II 150 qui a considéré que les demandes collectives n'entraient pas dans le champ d'application de cette disposition. Il a invité le Tribunal de céans à corriger cette jurisprudence en interdisant toute transmission d'informations antérieures au 1er février 2013.</w:t>
      </w:r>
    </w:p>
    <w:p>
      <w:r>
        <w:rPr>
          <w:b/>
        </w:rPr>
        <w:t>E. 5.4.2</w:t>
      </w:r>
    </w:p>
    <w:p>
      <w:r>
        <w:t>Sur ce point, il est relevé que le Tribunal fédéral a explicitement indiqué que la date du 1er février 2013 ne concernait que les demandes groupées (cf. 2.1.3 in fine supra). Le Tribunal de céans ne distingue pas de motifs suffisants pour remettre en question cette interprétation, étant rappelé qu'il est lié par les considérants de l'arrêt en question (cf. consid. 1.4.3 supra).</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