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F-1701/2019 vom 6. April 2021</w:t>
      </w:r>
    </w:p>
    <w:p>
      <w:r>
        <w:t>Bundesverwaltungsgericht, 2021-04-06, FR</w:t>
      </w:r>
    </w:p>
    <w:p>
      <w:r>
        <w:rPr>
          <w:b/>
        </w:rPr>
        <w:t xml:space="preserve">Quelle: </w:t>
      </w:r>
      <w:r>
        <w:t>https://mcp.opencaselaw.ch/entscheid/bvger_F-1701_2019</w:t>
      </w:r>
    </w:p>
    <w:p>
      <w:r>
        <w:t>FR: TAF F-1701/2019 du 6 avril 2021</w:t>
      </w:r>
    </w:p>
    <w:p>
      <w:r>
        <w:t>IT: TAF F-1701/2019 del 6 aprile 2021</w:t>
      </w:r>
    </w:p>
    <w:p>
      <w:pPr>
        <w:pStyle w:val="Heading2"/>
      </w:pPr>
      <w:r>
        <w:t>Regeste</w:t>
      </w:r>
    </w:p>
    <w:p>
      <w:r>
        <w:t>suite à la dissolution de la famille</w:t>
      </w:r>
    </w:p>
    <w:p>
      <w:pPr>
        <w:pStyle w:val="Heading2"/>
      </w:pPr>
      <w:r>
        <w:t>Erwägungen</w:t>
      </w:r>
    </w:p>
    <w:p>
      <w:r>
        <w:rPr>
          <w:b/>
        </w:rPr>
        <w:t>E. 1.1</w:t>
      </w:r>
    </w:p>
    <w:p>
      <w:r>
        <w:t>Le Tribunal de céans est compétent pour connaître du recours (art. 31 à 33 LTAF). En outre, la décision querellée concerne une autorisation de séjour à laquelle le droit fédéral ou international confère un droit, de sorte que le présent arrêt indique les voies de droit au Tribunal fédéral (ci-après : TF, cf. art. 1 al. 2 LTAF, en relation avec l'art. 83 let. c ch. 2 et 4 LTF [RS 173.110] consid. 5.1 infra).</w:t>
      </w:r>
    </w:p>
    <w:p>
      <w:r>
        <w:rPr>
          <w:b/>
        </w:rPr>
        <w:t>E. 1.2</w:t>
      </w:r>
    </w:p>
    <w:p>
      <w:r>
        <w:t>A moins que la LTAF n'en dispose autrement, la procédure devant le Tribunal de céans est régie par la PA (cf. art. 37 LTAF).</w:t>
      </w:r>
    </w:p>
    <w:p>
      <w:r>
        <w:rPr>
          <w:b/>
        </w:rPr>
        <w:t>E. 1.3</w:t>
      </w:r>
    </w:p>
    <w:p>
      <w:r>
        <w:t>La recourante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l'espèce, la décision querellée a été prononcée après l'entrée en vigueur du nouveau droit, mais, à juste titre, en application de l'ancien droit. En effet, la décision d'approbation fédérale - qui constitue une condition de validité de l'autorisation délivrée par l'autorité cantonale - « s'intègre » dans la décision cantonale (cf. ATF 143 II 1 consid. 5.3), en l'occurrence rendue en novembre 2018, soit sous l'empire de l'ancien droit. Cela étant, le Tribunal ne décèle pas de motifs susceptibles de justifier une application immédiate des nouvelles dispositions en procédure de recours (cf. à ce sujet arrêt du TAF F-2693/2019 du 24 février 2021 consid. 3.2 s. et les réf. cit.). Par conséquent, il y a lieu d'appliquer la LEtr dans sa teneur en vigueur jusqu'au 31 décembre 2018, y compris en rapport avec la dénomination de cette loi. Il en va de même s'agissant de l'OASA, qui sera citée, en tant que nécessaire, selon sa teneur valable jusqu'au 31 décembre 2018.</w:t>
      </w:r>
    </w:p>
    <w:p>
      <w:r>
        <w:rPr>
          <w:b/>
        </w:rPr>
        <w:t>E. 4</w:t>
      </w:r>
    </w:p>
    <w:p>
      <w:r>
        <w:t>Le SEM avait la compétence d'approuver l'octroi d'une autorisation de séjour en application de l'art. 85 OASA (cf. ATF 141 II 169 consid. 4 ainsi que les art. 99 et 40 al. 1 LEtr ; sur le nouvel art. 99 LEI entré en vigueur dès le 1er juin 2019, cf. arrêt du TAF F 6072/2017 du 4 juillet 2019 consid. 4). Il s'ensuit que, ni le SEM, ni a fortiori le Tribunal, ne sont liés par le préavis positif cantonal en faveur de l'octroi d'une autorisation de séjour au recourant et peuvent parfaitement s'écarter de l'appréciation faite par cette autorité.</w:t>
      </w:r>
    </w:p>
    <w:p>
      <w:r>
        <w:rPr>
          <w:b/>
        </w:rPr>
        <w:t>E. 5.1</w:t>
      </w:r>
    </w:p>
    <w:p>
      <w:r>
        <w:t>Dans la décision attaquée, l'autorité intimée se réfère à l'art. 50 LEtr, étant précisé que, en vertu de l'art. 52 LEtr, cette disposition s'applique par analogie aux partenaires enregistrés du même sexe. Selon sa teneur, l'art. 50 LEtr ne concerne que les membres étrangers de la famille d'un ressortissant suisse respectivement d'un ressortissant étranger au bénéfice d'une autorisation d'établissement (au sens des art. 42 et 43 LEI, auxquels il est renvoyé). Eu égard au principe de non-discrimination prévu par l'art. 2 ALCP, il se justifie toutefois de traiter l'ex-conjoint ou partenaire enregistré d'un ressortissant de l'UE de la même manière que l'ex-conjoint d'un ressortissant suisse et, partant, de le faire bénéficier de l'art. 50 LEtr même si le ressortissant de l'UE concerné ne bénéficiait que d'une autorisation de séjour. Le champ d'application de l'art. 2 ALCP dépend toutefois du droit à une autorisation de séjour de l'ex-conjoint ressortissant de l'UE; si ce dernier ne dispose (plus) d'aucun droit de séjour en Suisse, le principe de non-discrimination ne trouve pas application aux fins de régler ses relations familiales (ATF 144 II 1 consid. 4.7, arrêt du TF 2C_202/2018 consid. 3 et arrêt du TAF F-6351/2019 du 9 novembre 2020 consid. 6.1). En l'espèce, l'ex-compagne de l'intéressée de nationalité française séjourne toujours en Suisse au bénéfice d'une autorisation de séjour, de sorte que c'est à juste titre que la SEM a appliqué l'art. 50 LEtr.</w:t>
      </w:r>
    </w:p>
    <w:p>
      <w:r>
        <w:rPr>
          <w:b/>
        </w:rPr>
        <w:t>E. 5.2</w:t>
      </w:r>
    </w:p>
    <w:p>
      <w:r>
        <w:t>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Les deux conditions de la let. a sont cumulatives (ATF 140 II 345 consid. 4; 140 II 289 consid. 3.5.3).</w:t>
      </w:r>
    </w:p>
    <w:p>
      <w:r>
        <w:rPr>
          <w:b/>
        </w:rPr>
        <w:t>E. 5.3</w:t>
      </w:r>
    </w:p>
    <w:p>
      <w:r>
        <w:t>La notion d'union conjugale ne se confond pas avec le mariage. Alors que ce dernier peut être purement formel, l'union conjugale implique en principe la vie en commun des époux, sous réserve des exceptions mentionnées à l'art. 49 LEtr (ATF 136 II 113 consid. 3.2; arrêt du TF 2C_980/2014 du 2 juin 2015 consid. 3.1). La notion d'union conjugale ne se confond pas non plus avec celle de la seule cohabitation, mais implique une volonté matrimoniale commune de la part des époux (ATF 138 II 229 consid. 2 et 137 II 345 consid. 3.1.2 et arrêt du TF 2C_1258/2012 du 2 août 2013 consid. 4.1). La période minimale de trois ans de l'union conjugale commence à courir dès le début de la cohabitation effective des époux en Suisse (ATF 140 II 345 consid. 4.1 et 138 II 229 consid. 2).</w:t>
      </w:r>
    </w:p>
    <w:p>
      <w:r>
        <w:rPr>
          <w:b/>
        </w:rPr>
        <w:t>E. 5.4</w:t>
      </w:r>
    </w:p>
    <w:p>
      <w:r>
        <w:t>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(cf. arrêt du TF 2C_970/2016 du 6 mars 2017 consid. 2.4 in fine).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ou que la volonté matrimoniale commune fait défaut. L'abus de droit au sens de l'art. 51 al. 1 let. a et al. 2 let. a LEtr demeure réservé (arrêt du TAF F-5895/2017 du 15 avril 2019 consid. 6.4 et 6.7). A cet égard, le TF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arrêt du TF 2C_30/2016 du 1er juin 2016 consid. 3.1 et les réf. cit.).</w:t>
      </w:r>
    </w:p>
    <w:p>
      <w:r>
        <w:rPr>
          <w:b/>
        </w:rPr>
        <w:t>E. 5.5</w:t>
      </w:r>
    </w:p>
    <w:p>
      <w:r>
        <w:t>En l'espèce, le SEM a retenu que le partenariat enregistré avait duré moins que trois ans, soit du 11 août 2014, date de conclusion du partenariat en Suisse, jusqu'en mai 2017, date que la recourante aurait elle-même indiquée au cours d'un entretien. Pour sa part, l'intéressée a principalement argué que la séparation avait eu lieu en septembre, respectivement en octobre 2017, les dires du couple concordant à ce sujet. L'allusion au mois de mai aurait eu trait à une discussion approfondie quant au sort de leur union ; ils auraient alors décidé de poursuivre celle-ci, de sorte que la vie commune aurait perduré jusqu'au départ de l'intéressée (pce TAF 1 ch. 11.4).</w:t>
      </w:r>
    </w:p>
    <w:p>
      <w:r>
        <w:rPr>
          <w:b/>
        </w:rPr>
        <w:t>E. 5.6</w:t>
      </w:r>
    </w:p>
    <w:p>
      <w:r>
        <w:t>Le Tribunal prend position comme suit.</w:t>
      </w:r>
    </w:p>
    <w:p>
      <w:r>
        <w:rPr>
          <w:b/>
        </w:rPr>
        <w:t>E. 5.6.1</w:t>
      </w:r>
    </w:p>
    <w:p>
      <w:r>
        <w:t>A titre liminaire, on relèvera que les ex-partenaires ont débuté leur relation en 2012, se sont régulièrement rencontrées jusqu'à la conclusion du partenariat en août 2014, puis ont vécu sous le même toit jusqu'en 2017. Ainsi le fait que tant la recourante que son ex-compagne se sont mises en ménage commun avec un homme peu de temps après la séparation (pce SEM p. 52 et 30) n'incite pas à penser que la recourante commettrait un abus de droit, ce que le SEM ne prétend d'ailleurs pas.</w:t>
      </w:r>
    </w:p>
    <w:p>
      <w:r>
        <w:rPr>
          <w:b/>
        </w:rPr>
        <w:t>E. 5.6.2</w:t>
      </w:r>
    </w:p>
    <w:p>
      <w:r>
        <w:t>Tel que l'a retenu le SEM, le délai de 3 ans commence à courir au plus tôt le 11 août 2014, soit au jour de l'enregistrement du partenariat et du ménage commun des ex-partenaires en Suisse (cf. pce SEM p.30, pce TAF 1 annexe 2) ; la recourante ne le conteste d'ailleurs pas (cf. aussi pce TAF 1 ch. 11.1). Quant à la fin du ménage commun, il y a lieu de conclure, en l'absence d'indices contraires, que celles-ci ont cohabité ensemble au-delà de la période de 3 ans. En effet, l'ex-couple a vécu à la même adresse jusqu'au 30 septembre 2017 (notamment pce TAF 8 annexe 1). Cela étant, il faut non seulement un ménage commun (ou pouvoir se prévaloir d'une exception au ménage commun selon l'art. 49 LEtr), mais également une volonté des deux époux de former une véritable communauté conjugale (cf. l'arrêt du TF 2C_970/2016 du 6 mars 2017 consid. 2.4).</w:t>
      </w:r>
    </w:p>
    <w:p>
      <w:r>
        <w:rPr>
          <w:b/>
        </w:rPr>
        <w:t>E. 5.6.3</w:t>
      </w:r>
    </w:p>
    <w:p>
      <w:r>
        <w:t>Le couple a évoqué trois dates en lien avec la séparation lors de l'audition de mars 2018. Ainsi, l'ex-compagne a indiqué ne plus vivre avec la recourante depuis le mois de septembre 2017 (pce SEM 2 p. 27). Comme le relève à juste titre le SEM, la recourante elle-même y a indiqué que le couple avait « vécu ensemble jusqu'en mai 2017 » (pce SEM 2 p. 30). Cela dit, elle a précisé que la relation s'était alors « dégradée. Il n'y [aurait] plus [eu] d'amour comme avant » (ibid.). Plus loin, elle a également déclaré être séparée « depuis septembre 2017 » (pce SEM 2 p. 29). Devant le juge civil, les parties ont convenu d'une date de séparation au 15 octobre 2017 (pce SEM 2 p. 55). Dans ces conditions, cette unique allusion de la recourante au mois de mai 2017 ne saurait remettre suffisamment en cause les allégations concordantes des anciennes partenaires, selon lesquelles l'union aurait pris fin en automne 2017 seulement. On rappellera qu'il y a en effet lieu de se baser avant tout au moment où il est extérieurement perceptible que la volonté de former une communauté conjugale n'existe plus, soit en l'occurrence le changement d'adresse au 1er octobre 2017. Par ailleurs, si, comme en l'espèce, les époux ont fait ménage commun en Suisse durant plus de trois ans, l'absence de communauté conjugale effectivement vécue avec une volonté matrimoniale commune ne saurait être admise facilement et l'autorité doit, pour la nier, disposer d'éléments objectifs et concrets (consid. 5.4 supra). Or, en l'état du dossier, on cherche en vain dans les actes de la cause des éléments suffisamment pertinents pour confirmer les doutes du SEM quant à la durée effective des trois ans de vie commune ; ceux-ci ne sauraient ainsi être partagés (voir, à titre de comparaison, par exemple les arrêts du TAF F-5895/2017 du 15 avril 2019 consid. 7.2 et F-1216/2016 du 26 juin 2017 consid. 6.2.3). Par ailleurs, s'il l'estimait nécessaire, le SEM aurait dû procéder à de plus amples mesures d'instructions pour étayer son opinion (notamment et par exemple en lien avec la recherche d'un nouvel appartement). Cela dit, le Tribunal estime que cette mesure n'est pas nécessaire et qu'il dispose de suffisamment d'éléments pour se forger une conviction en l'état du dossier.</w:t>
      </w:r>
    </w:p>
    <w:p>
      <w:r>
        <w:rPr>
          <w:b/>
        </w:rPr>
        <w:t>E. 5.7</w:t>
      </w:r>
    </w:p>
    <w:p>
      <w:r>
        <w:t>Ainsi, le Tribunal conclut que la durée perceptible du domicile matrimonial commun en Suisse a été supérieure à trois ans et qu'il n'y a pas lieu de retenir que la communauté conjugale a déjà été vidée de toute substance avant la date de la séparation du couple. La première condition posée par l'art. 50 al. 1 let. a LEtr est ainsi réalisée. Il reste à examiner si la condition d'intégration réussie, condition cumulative (cf. consid. 5.2 supra), est également remplie.</w:t>
      </w:r>
    </w:p>
    <w:p>
      <w:r>
        <w:rPr>
          <w:b/>
        </w:rPr>
        <w:t>E. 6.1</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intégration réussie »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les réf. cit.).</w:t>
      </w:r>
    </w:p>
    <w:p>
      <w:r>
        <w:rPr>
          <w:b/>
        </w:rPr>
        <w:t>E. 6.2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(arrêts du TF 2C_656/2016 du 9 février 2017 consid. 5.2 et 2C_385/2016 du 4 octobre 2016 consid. 4.1).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TF 2C_352/2014 du 18 mars 2015 consid. 4.3; 2C_385/2014 du 19 janvier 2015 consid. 4.1). Selon la jurisprudence du TF et du Tribunal de céans, 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LEtr (à ce sujet, cf. notamment l'arrêt du TAF C-4103/2015 du 22 avril 2016 consid. 7.4.4, ainsi que la jurisprudence citée et en particulier l'arrêt du TF 2C_175/2015 du 30 octobre 2015 consid. 3.2.3 et 4.1 ; voir également l'arrêt du TAF F-3557/2016 du 5 mars 2018 consid. 6.5.2, 2e par.).</w:t>
      </w:r>
    </w:p>
    <w:p>
      <w:r>
        <w:rPr>
          <w:b/>
        </w:rPr>
        <w:t>E. 6.3</w:t>
      </w:r>
    </w:p>
    <w:p>
      <w:r>
        <w:t>En l'espèce, la recourante est entrée définitivement en Suisse le 4 août 2014 (pce TAF 1 annexe 2): Depuis lors, elle a constamment exercé une activité lucrative, hormis quelques mois de chômage en 2020 (pces TAF 1 annexe 1 et TAF 16 annexes 4 et 6). Elle a en outre effectué une formation d'employée de maison en 2020 (pce TAF 16 annexe 9). Si, en ce moment, elle ne bénéficie certes que d'un contrat à durée déterminée (pce TAF 16 annexe 9), elle a réussi à décrocher à tout le moins un contrat à durée indéterminée par le passé (pce TAF 8 annexe 5). Ses employeurs ont été entièrement satisfaits de son travail et ses périodes d'inactivité sont restées, au fil des ans, en général peu nombreuses et de courte durée (pce TAF 8 annexe 5, 16 annexe 4 et 18 annexes 1 et 2). Dans ce cadre, on relèvera également qu'elle semble maîtriser suffisamment la langue française, ce que le SEM ne remet d'ailleurs pas en doute. De toute manière, l'intéressée n'a jamais bénéficié de l'aide étatique (pce TAF 16 annexe 3) et n'a jamais fait l'objet d'une poursuite (notamment pce TAF 16 annexe 2). Ainsi, avec un salaire moyen imposable souvent supérieur à 30'000 francs par an (notamment pces TAF 8 annexe 5, TAF 12, 14 et 16 annexes 4, 5 et 7), elle a été capable d'assumer seule ses charges et conserver une situation financière saine. Par ailleurs, l'intéressée fait preuve d'une certaine intégration sociale (récente) par le biais de participation à des clubs sportifs (pce TAF 8 annexe 4) et s'est constituée un réseau social certain (voir à ce sujet les nombreux témoignages : pce TAF 1 annexes 6 et 9 et pce TAF 8 annexe 3). Enfin, on notera encore à toutes fins utiles que la recourante n'a, en l'état du dossier, jamais occupé les forces de police (pce TAF 16 annexe 1).</w:t>
      </w:r>
    </w:p>
    <w:p>
      <w:r>
        <w:rPr>
          <w:b/>
        </w:rPr>
        <w:t>E. 6.4</w:t>
      </w:r>
    </w:p>
    <w:p>
      <w:r>
        <w:t>Sur le vu de tout ce qui précède, le Tribunal parvient à la conclusion que l'intégration de la recourante doit être considérée, dans son ensemble, comme réussie au sens de l'art. 50 al. 1 let. a LEtr.</w:t>
      </w:r>
    </w:p>
    <w:p>
      <w:r>
        <w:rPr>
          <w:b/>
        </w:rPr>
        <w:t>E. 7</w:t>
      </w:r>
    </w:p>
    <w:p>
      <w:r>
        <w:t>Il ressort de ce qui précède que le recours doit être admis et la décision rendue par le SEM le 15 mars 2019 annulée. Statuant lui-même, le Tribunal octroie l'approbation requise au renouvellement de l'autorisation de séjour de la recourante.</w:t>
      </w:r>
    </w:p>
    <w:p>
      <w:r>
        <w:rPr>
          <w:b/>
        </w:rPr>
        <w:t>E. 8</w:t>
      </w:r>
    </w:p>
    <w:p>
      <w:r>
        <w:t>Obtenant gain de cause, la recourante n'a pas à supporter de frais de procédure (cf. art. 63 al. 1 a contrario et al. 3 PA). Aucun frais n'est mis à la charge de l'autorité inférieure déboutée(cf. art. 63 al. 2 PA).</w:t>
      </w:r>
    </w:p>
    <w:p>
      <w:r>
        <w:rPr>
          <w:b/>
        </w:rPr>
        <w:t>E. 9.1</w:t>
      </w:r>
    </w:p>
    <w:p>
      <w:r>
        <w:t>Il convient par ailleurs d'allouer à l'intéressée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du mandataire, l'indemnité due est fixée sur la base du dossier (cf. art. 14 al. 2 FITAF).</w:t>
      </w:r>
    </w:p>
    <w:p>
      <w:r>
        <w:rPr>
          <w:b/>
        </w:rPr>
        <w:t>E. 9.2</w:t>
      </w:r>
    </w:p>
    <w:p>
      <w:r>
        <w:t>Au regard de l'ensemble des circonstances, notamment du tarif applicable, de l'importance et du degré de complexité de la cause et du temps nécessaire à la défense des intérêts de la recourante, l'indemnité à titre de dépens pour les frais indispensables à la défense de leurs intérêts est fixée ex aequo et bono, à 1'500 francs y compris supplément TVA selon l'art. 9 al. 1 let. c FITAF.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