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F-1690/2026 vom 12. März 2026</w:t>
      </w:r>
    </w:p>
    <w:p>
      <w:r>
        <w:t>Bundesverwaltungsgericht, 2026-03-12, DE</w:t>
      </w:r>
    </w:p>
    <w:p>
      <w:r>
        <w:rPr>
          <w:b/>
        </w:rPr>
        <w:t xml:space="preserve">Quelle: </w:t>
      </w:r>
      <w:r>
        <w:t>https://mcp.opencaselaw.ch/entscheid/bvger_F-1690_2026</w:t>
      </w:r>
    </w:p>
    <w:p>
      <w:r>
        <w:t>FR: TAF F-1690/2026 du 12 mars 2026</w:t>
      </w:r>
    </w:p>
    <w:p>
      <w:r>
        <w:t>IT: TAF F-1690/2026 del 12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4</w:t>
      </w:r>
    </w:p>
    <w:p>
      <w:r>
        <w:t>Nachdem die deutschen Behörden dem Wiederaufnahmegesuch des SEM am 9. Februar 2026 zugestimmt haben, ist die Zuständigkeit Deutschlands grundsätzlich gegeben. Sodann ist in grundlegender Hinsicht festzuhalten, dass die Dublin-III-VO den Asylsuchenden kein Recht einräumt, den ihren Antrag prüfenden Staat selbst auszuwählen (vgl. BVGE 2010/45 E. 8.3).</w:t>
      </w:r>
    </w:p>
    <w:p>
      <w:r>
        <w:rPr>
          <w:b/>
        </w:rPr>
        <w:t>E. 5</w:t>
      </w:r>
    </w:p>
    <w:p>
      <w:r>
        <w:t>Mit Blick auf Art. 3 Abs. 2 Dublin-III-VO ist festzuhalten, dass das Asylverfahren in Deutschland keine systemischen Schwachstellen aufweist (Art. 3 Abs. 2 Dublin-III-VO). Unter Hinweis auf die konstante Praxis des Bundesverwaltungsgerichts (vgl. etwa die Urteile des BVGer F-2620/2025 vom 12. Juni 2025 E. 5.1; F-3296/2025 vom 15. Mai 2025 E. 6) erübrigen sich diesbezüglich weitere Erörterungen.</w:t>
      </w:r>
    </w:p>
    <w:p>
      <w:r>
        <w:rPr>
          <w:b/>
        </w:rPr>
        <w:t>E. 6.1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6.2</w:t>
      </w:r>
    </w:p>
    <w:p>
      <w:r>
        <w:t>Mangels systemischer Mängel im Sinne von Art. 3 Abs. 2 Dublin-III-VO kann vermutungsweise davon ausgegangen werden, dass Deutschland seinen völker- und gemeinschaftsrechtlichen Verpflichtungen gegenüber Personen in der Situation der Beschwerdeführerin nachkommt und insbesondere auch die Rechte respektiert und schützt, die sich aus der Verfahrens- und Aufnahmerichtlinie ergeben (vgl. Urteile des BVGer E-4933/2023 vom 22. September 2023; E-4531/2023 vom 28. August 2023). Sie vermag diese Vermutung nicht zu widerlegen.</w:t>
      </w:r>
    </w:p>
    <w:p>
      <w:r>
        <w:rPr>
          <w:b/>
        </w:rPr>
        <w:t>E. 6.3</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 Die Beschwerdeführerin gab anlässlich des Dublin-Gesprächs an, es sei ihr in Deutschland gesundheitlich nicht gut gegangen und sie habe nicht die entsprechende Behandlung bekommen. Bei der Ankunft in der Schweiz sei ihr Blutdruck hoch gewesen. Sie sei bei der Pflege des Zentrums in Behandlung, habe Medikamente erhalten und es gehe ihr jetzt besser (SEM-Akten act. 17). Auf Beschwerdeebene macht sie geltend, sie habe in Deutschland zweimal den Notruf angerufen, was ihr danach verboten worden sei. Die häufig nachgesuchte medizinische Hilfe sei ihr verwehrt worden. In der Schweiz habe sie keine Herzprobleme mehr. Aus den vorinstanzlichen Akten ist nicht ersichtlich, dass sie aufgrund gesundheitlicher Probleme hier um ärztliche Hilfe ersucht hatte. Der Beschwerde lagen verschiedene deutsche Arztberichte bei, gemäss welchen sie an hohem Blutdruck leidet, ihr die Einnahme von Medikamenten sowie eine Wiedervorstellung beim Hausarzt empfohlen wurde (Beilagen act. 1). Die gesundheitliche Situation erscheint nicht derart gravierend, als dass sie einer Überstellung nach Deutschland entgegenstehen könnte. Zudem verfügt das Land über eine ausreichende medizinische Infrastruktur und die Beschwerdeführerin wurde dort bereits mehrfach ärztlich behandelt. Es liegen keine Hinweise vor hinsichtlich einer Verweigerung medizinischer Hilfe.</w:t>
      </w:r>
    </w:p>
    <w:p>
      <w:r>
        <w:rPr>
          <w:b/>
        </w:rPr>
        <w:t>E. 6.4</w:t>
      </w:r>
    </w:p>
    <w:p>
      <w:r>
        <w:t>Die Vorinstanz hat in rechtsfehlerfreier Ausübung des ihr nach Art. 17 Abs. 1 Dublin-III-VO und Art. 29a Abs. 3 AsylV 1 zukommenden Ermes-sens von einem freiwilligen Selbsteintritt der Schweiz abgesehen. Sie ist demnach zu Recht in Anwendung von Art. 31a Abs. 1 Bst. b AsylG auf das Asylgesuch nicht eingetreten und hat in Anwendung von Art. 44 AsylG die Wegweisung nach Deutschland angeordnet.</w:t>
      </w:r>
    </w:p>
    <w:p>
      <w:r>
        <w:rPr>
          <w:b/>
        </w:rPr>
        <w:t>E. 7</w:t>
      </w:r>
    </w:p>
    <w:p>
      <w:r>
        <w:t>Die Beschwerde ist abzuweisen. Der am 9. März 2026 angeordnete Vollzugsstopp fällt mit vorliegendem Urteil dahin.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