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F-1684/2017 vom 5. März 2019</w:t>
      </w:r>
    </w:p>
    <w:p>
      <w:r>
        <w:t>Bundesverwaltungsgericht, 2019-03-05, DE</w:t>
      </w:r>
    </w:p>
    <w:p>
      <w:r>
        <w:rPr>
          <w:b/>
        </w:rPr>
        <w:t xml:space="preserve">Quelle: </w:t>
      </w:r>
      <w:r>
        <w:t>https://mcp.opencaselaw.ch/entscheid/bvger_F-1684_2017</w:t>
      </w:r>
    </w:p>
    <w:p>
      <w:r>
        <w:t>FR: TAF F-1684/2017 du 5 mars 2019</w:t>
      </w:r>
    </w:p>
    <w:p>
      <w:r>
        <w:t>IT: TAF F-1684/2017 del 5 marzo 2019</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des Bürgerrechtsgesetzes vom 29. September 1952 [BüG, SR 141.0]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4.2</w:t>
      </w:r>
    </w:p>
    <w:p>
      <w:r>
        <w:t>Die Nichtigerklärung der Einbürgerung hat innerhalb der von Art. 41 Abs. 1bis BüG festgelegten Fristen zu erfolgen. Diese wurden im Falle des Beschwerdeführers eingehalten.</w:t>
      </w:r>
    </w:p>
    <w:p>
      <w:r>
        <w:rPr>
          <w:b/>
        </w:rPr>
        <w:t>E. 5.1</w:t>
      </w:r>
    </w:p>
    <w:p>
      <w:r>
        <w:t>Das Verfahren zur Nichtigerklärung der erleichterten Einbürgerung richtet sich nach den Bestimmungen des Verwaltungsverfahrensgesetzes (vgl. Art. 1 Abs. 1 und Abs. 2 Bst. cbis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w:t>
      </w:r>
    </w:p>
    <w:p>
      <w:r>
        <w:rPr>
          <w:b/>
        </w:rPr>
        <w:t>E. 5.2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6.1</w:t>
      </w:r>
    </w:p>
    <w:p>
      <w:r>
        <w:t>Die Vorinstanz geht von der Vermutung aus, dass der Beschwerdeführer spätestens im Einbürgerungszeitpunkt nicht mehr in einer stabilen und zukunftsgerichteten Ehe mit seiner Schweizer Ehefrau gelebt und sich mit der gegenteiligen Erklärung vom 4. Juli 2011 die erleichterte Einbürgerung erschlichen habe.</w:t>
      </w:r>
    </w:p>
    <w:p>
      <w:r>
        <w:rPr>
          <w:b/>
        </w:rPr>
        <w:t>E. 6.2</w:t>
      </w:r>
    </w:p>
    <w:p>
      <w:r>
        <w:t>Dem Akteninhalt ist zu entnehmen, dass der Beschwerdeführer im August 1999 erstmals in die Schweiz gelangte, das Land nach erfolglosem Asylgesuch wieder verliess und nach erneuter Einreise im Mai 2003 abermals um Asyl ersuchte. Im Verlauf des zweiten Asylverfahrens erhielt er am 24. Oktober 2005 die vorläufige Aufnahme, zog seine gegen die Asylverweigerung gerichtete Beschwerde an die Asylrekurskommission (ARK) aber erst zurück, nachdem er B._______ nach einer rund sechsmonatigen Kennenlernphase geheiratet hatte (vgl. vorstehenden Sachverhalt A und B). Aufgrund der am 2. Dezember 2005 geschlossenen Ehe erhielt der Beschwerdeführer eine Aufenthaltsbewilligung und stellte am 7. September 2010 ein Gesuch um erleichterte Einbürgerung. Diese erfolgte mit Verfügung vom 22. August 2011, sieben Wochen nachdem er und seine Ehefrau unterschriftlich bestätigt hatten, in einer stabilen ehelichen Gemeinschaft zu leben. Bereits am 28. Oktober 2011, fünf Wochen nach Rechtskraft der Einbürgerungsverfügung, verfassten die Ehegatte ein gemeinsames Scheidungsbegehren und erreichten damit, dass bereits am 15. Dezember 2011 die Scheidung ausgesprochen wurde. Im Verlauf der folgenden Monate verliess A._______ die Schweiz, schloss in seinem Herkunftsland anfangs 2013 eine neue Ehe und meldete sich bei einem weiteren hiesigen Aufenthalt zum 20. März 2014 in die Türkei ab. Danach kehrte er eigenen Angabe zufolge erst wieder Ende Januar 2016 in die Schweiz zurück; zu diesem Zeitpunkt hatte die Vorinstanz bereits das Nichtigkeitsverfahren eingeleitet und den Beschwerdeführer davon in Kenntnis gesetzt (zu Vorstehendem: vgl. Sachverhalt E und F) .</w:t>
      </w:r>
    </w:p>
    <w:p>
      <w:r>
        <w:rPr>
          <w:b/>
        </w:rPr>
        <w:t>E. 6.3</w:t>
      </w:r>
    </w:p>
    <w:p>
      <w:r>
        <w:t>Der geschilderte Geschehensablauf zeigt, dass sich der Beschwerdeführer in der Schweiz zweimal erfolglos um Asyl bemüht hatte und sich hier erst durch seine Heirat ein dauerhaftes Aufenthaltsrecht verschaffen konnte. Insbesondere fällt jedoch ins Auge, dass zwischen seiner erleichterten Einbürgerung und dem Scheidungsbegehren der Ehegatten ein äusserst kurzer Zeitraum lag. Dies legt nahe, dass seine Ehe schon lange vor dem Einbürgerungszeitpunkt keine Stabilität mehr aufwies. Der Umstand, dass der Beschwerdeführer seinen Lebensmittelpunkt nach der Scheidung ins Ausland verlegte, dort eine Familie gründete und erst rund vier Jahre später - während des laufenden Nichtigkeitsverfahrens - erneut Wohnsitz in der Schweiz nahm, lässt zudem darauf schliessen, dass ihm nicht an der von Art. 26 Abs. 1 BüG geforderten hiesigen Integration, sondern lediglich am Erhalt des Schweizer Bürgerrechts gelegen war. Auch die weiteren Ergebnisse der vorinstanzlichen Abklärungen ändern an dieser Einschätzung nichts. So wird aus den verschiedenen Stellungnahmen des Beschwerdeführers an die Vorinstanz deutlich, dass er die Verantwortung für das plötzliche und angeblich nicht vorhersehbare Scheitern der Ehe seiner früheren Ehefrau anlastet. Sein Wissen um die bereits gescheiterten drei Ehen seiner Partnerin sowie seine unterbliebenen Versuche, die Beziehung zu retten, lassen seine fehlende eigene Beteiligung am Scheitern der Ehe jedoch nicht überzeugend erscheinen. Demzufolge durfte die Vorinstanz zu recht vermuten, dass die vom Beschwerdeführer am 4. Juli 2011 unterschriftlich bestätigte intakte Ehegemeinschaft zu diesem Zeitpunkt nicht mehr bestand.</w:t>
      </w:r>
    </w:p>
    <w:p>
      <w:r>
        <w:rPr>
          <w:b/>
        </w:rPr>
        <w:t>E. 7.1</w:t>
      </w:r>
    </w:p>
    <w:p>
      <w:r>
        <w:t>Damit stellt sich die Frage, ob die vom Beschwerdeführer im Rechtsmittelverfahren vorgebrachten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w:t>
      </w:r>
    </w:p>
    <w:p>
      <w:r>
        <w:rPr>
          <w:b/>
        </w:rPr>
        <w:t>E. 7.2</w:t>
      </w:r>
    </w:p>
    <w:p>
      <w:r>
        <w:t>Dem von der Vorinstanz als massgeblich erachteten Geschehensablauf hat der Beschwerdeführer im ersten Punkt entgegengehalten, sich aus reiner Liebe und unabhängig von seiner aufenthaltsrechtlichen Situation zur Heirat entschlossen zu haben. Im Gesamtzusammenhang betrachtet darf diese Behauptung jedoch schon deshalb bezweifelt werden, weil seine bis dahin geltende vorläufige Aufnahme stets unter dem Vorbehalt des Widerrufs stand; offensichtlich nicht ohne Grund hatte sich der Beschwerdeführer mit diesem ausländerrechtlichen Status nicht zufrieden gegeben, sondern sein Asylverfahren weitergeführt und die bei der ARK eingereichte Beschwerde erst nach der Heirat zurückgezogen. Darauf, dass ein künftiges Aufenthaltsrecht mitursächlich für die Eheschliessung war, deutet auch die relativ kurze Kennenlernphase des Paares hin.</w:t>
      </w:r>
    </w:p>
    <w:p>
      <w:r>
        <w:rPr>
          <w:b/>
        </w:rPr>
        <w:t>E. 7.3</w:t>
      </w:r>
    </w:p>
    <w:p>
      <w:r>
        <w:t>Der Umstand, dass ein gemeinsames Scheidungsbegehren nur wenige Wochen nach der erleichterten Einbürgerung des Beschwerdeführers gestellt wurde, ist allerdings der wichtigste Punkt, der für eine schon seit Langem zerrüttete Ehe spricht. Vordergründig erscheint es zwar plausibel, dass die Ehefrau die alleinige Verantwortung für das Scheitern der Beziehung getragen haben soll, denn immerhin hat sie selbst eingestanden, sehr impulsiv zu sein und sozusagen von einem Tag auf den anderen die Trennung verlangt zu haben (vgl. ihre Stellungnahme vom 20. Februar 2015 [Vorakten S. 105]); darauf allein kann jedoch nicht abgestellt werden. Zum einen hat B._______ - bei aller Selbstkritik - deutlich macht, dass sie mit der Ehe seit Langem unzufrieden war (vgl. ihre Auskunft vom 4. August 2016); zum anderen hat der Beschwerdeführer seine Rolle als Ehemann so beschrieben, dass sie auf sein erhebliches Desinteresse am Zusammensein mit seiner Partnerin schliessen lässt.</w:t>
      </w:r>
    </w:p>
    <w:p>
      <w:r>
        <w:rPr>
          <w:b/>
        </w:rPr>
        <w:t>E. 7.4</w:t>
      </w:r>
    </w:p>
    <w:p>
      <w:r>
        <w:t>Abgesehen von der Behauptung, beim Kennenlernen und bei der Heirat ineinander verliebt gewesen zu sein und eine ernsthafte Beziehung geführt zu haben, wird aus dem weiteren Beschwerdevorbringen nicht erkennbar, was die Ehe überhaupt ausmachte. In seiner Rechtsmitteleingabe beschreibt der Beschwerdeführer seine frühere Ehefrau als jemanden, der "jeweils bis 2:00 Uhr oder 3:00 Uhr vor dem Fernseher sass oder am Computer spielte und jeweils bis 14:00 Uhr oder 15:00 Uhr schlief"; seine von ihm dagegen gehaltenen Arbeitszeiten einer Sechstagewoche - erste Schicht von 10:00 bis 14:00 Uhr, zweite Schicht von 17:00 Uhr bis Mitternacht - zeigen, dass für gegenseitigen Austausch oder für gemeinsame Unternehmungen wenig Raum blieb.</w:t>
      </w:r>
    </w:p>
    <w:p>
      <w:r>
        <w:rPr>
          <w:b/>
        </w:rPr>
        <w:t>E. 7.4.1</w:t>
      </w:r>
    </w:p>
    <w:p>
      <w:r>
        <w:t>Dass der Beschwerdeführer den völlig gegensätzlichen Lebensrhythmus und die offensichtlich fehlenden gemeinsamen Interessen als selbstverständlich und nicht als relevante Belastung der Ehe wahrgenommen haben will, überzeugt nicht. Er selbst hatte von Beginn an Kenntnis von der Borderline-Störung seiner Ehefrau und den damit einhergehenden Krankheitsbildern. Zudem scheint er ursprünglich auf ein für beide Partner genügendes Einkommen der Ehefrau gehofft zu haben, legt er doch in seiner Rechtsmitteleingabe (S. 6) dar, "die IV-Rente der schweizerischen Ehefrau hätte nicht ausgereicht"; er "musste deshalb einer Erwerbstätigkeit nachgehen". Vor diesem Hintergrund kann der Beschwerdeführer unter Berufung auf die für ihn ungünstigen Arbeitszeiten nicht plausibel machen, dass ihm die ehelichen Probleme nicht bewusst waren und er sich aufrichtig um den Fortbestand der gemeinsamen Beziehung bemühte. Die in seiner Replik (S. 3) vorgebrachte Behauptung, "es wäre eigentlich an seiner schweizerischen Ehefrau gelegen", sich seinen Arbeitszeiten anzupassen, zeigt vielmehr, dass er den bestehenden Problemen über Jahre hinweg bewusst aus dem Weg gering und lediglich aus eigennützigen Zielen an der Ehe festhielt.</w:t>
      </w:r>
    </w:p>
    <w:p>
      <w:r>
        <w:rPr>
          <w:b/>
        </w:rPr>
        <w:t>E. 7.4.2</w:t>
      </w:r>
    </w:p>
    <w:p>
      <w:r>
        <w:t>Bestätigt wird obige Schlussfolgerung auch dadurch, dass sich der Beschwerdeführer sofort auf den angeblich zuerst von seiner Ehefrau geäusserten Scheidungswunsch einliess und keinen Versuch unternahm, die Ehe zu retten. Seine Erklärung, sich der Chancenlosigkeit eines solchen Versuchs bewusst gewesen zu sein, wäre nur dann nachvollziehbar, wenn er schon längere Zeit damit gerechnet hätte, dass auch seine Ehe das gleiche Schicksal wie die drei vorherigen Ehen seiner Partnerin nehmen würde. Diese Erklärung steht jedoch in völligem Widerspruch zur Behauptung, "nie" - und nicht einmal im Zeitpunkt, als die Einbürgerungsverfügung rechtskräftig geworden sei - eine derartige Gefährdung der Ehe gesehen zu haben. Wäre Letzteres tatsächlich der Fall gewesen, so hätte der Beschwerdeführer den nur wenige Wochen später geäusserten Scheidungswunsch seiner Gattin nicht ohne weiteres hingenommen.</w:t>
      </w:r>
    </w:p>
    <w:p>
      <w:r>
        <w:rPr>
          <w:b/>
        </w:rPr>
        <w:t>E. 7.4.3</w:t>
      </w:r>
    </w:p>
    <w:p>
      <w:r>
        <w:t>In diesem Zusammenhang fällt zudem auf, dass der Beschwerdeführer jegliches Interesse an der von seiner Ehefrau im Sommer 2011 begonnenen Therapie vermissen lässt. Er selbst legt dar, es sei dabei darum gegangen, "die Auswirkungen der Krankheit etwas zu reduzieren", weist aber insbesondere die Möglichkeit des Nutzens für die Paarbeziehung von sich. Angesichts der Symptome, welche mit einer Borderline-Persönlichkeitsstörung einhergehen - dies sind unter anderem Störungen der Affektregulation im sozialen Kontext (vgl. Pschyrembel, Klinisches Wörterbuch, 267. Auflage 2017) - wäre deren Dezimierung jedoch unweigerlich auch der Paarbeziehung zugutegekommen. Mit der Behauptung, die Therapie habe "gar nichts mit der Ehe zu tun" gehabt, bringt der Beschwerdeführer jedoch, ganz im Gegenteil, seine Gleichgültigkeit gegenüber der bis dahin gelebten ehelichen Beziehung und dem Wohlergehen seiner Ehefrau zum Ausdruck. In seiner Replik betont er nochmals, dass er ihr nicht habe beistehen können, "weil dies die Aufgabe des Psychologen war, der sie betreute".</w:t>
      </w:r>
    </w:p>
    <w:p>
      <w:r>
        <w:rPr>
          <w:b/>
        </w:rPr>
        <w:t>E. 7.5</w:t>
      </w:r>
    </w:p>
    <w:p>
      <w:r>
        <w:t>Nach alledem hat der Beschwerdeführer die bestehende Vermutung der erschlichenen erleichterten Einbürgerung nicht entkräften können. Vielmehr sprechen seine Argumente, mit denen er die aus seiner Sicht funktionierende Ehe beschreibt und die alleinige Verantwortung für ihr unmittelbar auf die Einbürgerung folgendes Scheitern seiner früheren Ehefrau zuschiebt, für die Richtigkeit dieser Vermutung. Ihr zufolge ergibt sich ein Bild, in welchem der Beschwerdeführer eine IV-Bezügerin mit Borderline-Persönlichkeitsstörung ehelichte, wenig zum Gelingen der gemeinsamen Beziehung beitrug und in Anbetracht des Vorlebens und der Krankheit seiner Partnerin damit rechnete, dass die Ehe früher oder später scheitern würde. Die angeblich vorbildliche Beziehung eines anderen Paares, welche der Beschwerdeführer als Ursache des ehelichen Scheitern und des Trennungswunsches seiner damaligen Ehefrau in den Vordergrund rückt, ist für den Geschehensablauf nicht massgelblich. Die Wahrnehmung dieser anscheinend intakten Beziehung mag für die Ehefrau Auslöser für den spontanen Entschluss zur Scheidung gewesen sein; der Beschwerdeführer kann daraus jedoch nicht abzuleiten, dass erst der - und zwar nach der Einbürgerung angestellte - Vergleich der beiden Beziehungen zur plötzlichen Zerrüttung seiner Ehe führte.</w:t>
      </w:r>
    </w:p>
    <w:p>
      <w:r>
        <w:rPr>
          <w:b/>
        </w:rPr>
        <w:t>E. 8</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 Die sich daraus ergebende Nichtigerklärung erstreckt sich gemäss Art. 41 Abs. 3 BüG auf alle Familienglieder, deren Schweizer Bürgerrecht auf der nichtig erklärten Einbürgerung beruht.</w:t>
      </w:r>
    </w:p>
    <w:p>
      <w:r>
        <w:rPr>
          <w:b/>
        </w:rPr>
        <w:t>E. 9</w:t>
      </w:r>
    </w:p>
    <w:p>
      <w:r>
        <w:t>Die angefochtene Verfügung ist somit als rechtmässig und angemessen zu bestätigen (Art. 49 VwVG) und die Beschwerde demzufolge abzuweisen.</w:t>
      </w:r>
    </w:p>
    <w:p>
      <w:r>
        <w:rPr>
          <w:b/>
        </w:rPr>
        <w:t>E. 10</w:t>
      </w:r>
    </w:p>
    <w:p>
      <w:r>
        <w:t>Dem Beschwerdeführer, welchem die unentgeltliche Rechtspflege gewährt wurde, sind gemäss Art. 65 Abs. 1 VwVG keine Verfahrenskosten aufzuerlegen. Seinem gemäss Art. 65 Abs. 2 VwVG amtlich bestellten Vertreter ist - entsprechend der Honorarnote vom 16. August 2017 - eine Entschädigung in Höhe von Fr. 2'393.15 zuzusprechen (vgl. Art. 12 i.V.m. Art. 8 ff. sowie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