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F-1676/2024 vom 26. März 2024</w:t>
      </w:r>
    </w:p>
    <w:p>
      <w:r>
        <w:t>Bundesverwaltungsgericht, 2024-03-26, DE</w:t>
      </w:r>
    </w:p>
    <w:p>
      <w:r>
        <w:rPr>
          <w:b/>
        </w:rPr>
        <w:t xml:space="preserve">Quelle: </w:t>
      </w:r>
      <w:r>
        <w:t>https://mcp.opencaselaw.ch/entscheid/bvger_F-1676_2024</w:t>
      </w:r>
    </w:p>
    <w:p>
      <w:r>
        <w:t>FR: TAF F-1676/2024 du 26 mars 2024</w:t>
      </w:r>
    </w:p>
    <w:p>
      <w:r>
        <w:t>IT: TAF F-1676/2024 del 26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Im Rahmen des Wiederaufnahmeverfahrens (Art. 23-25 Dublin-III-VO) - und damit in der Konstellation wie vorliegend - findet grundsätzlich keine (neue) Zuständigkeitsprüfung nach Kapitel III Dublin-III-VO statt (vgl. zum Ganzen BVGE 2017 VI/5 E. 6.2 und 8.2.1).</w:t>
      </w:r>
    </w:p>
    <w:p>
      <w:r>
        <w:rPr>
          <w:b/>
        </w:rPr>
        <w:t>E. 4.3</w:t>
      </w:r>
    </w:p>
    <w:p>
      <w:r>
        <w:t>Ein bereits erfolgter negativer Asylentscheid stellt kein Überstellungshindernis dar. Nach rechtskräftigem Abschluss des Asyl- und Wegweisungsverfahrens bleibt der prüfende Staat nach Art. 18 Abs. 1 Bst. d Dublin-III-VO bis zu einem allfälligen Wegweisungsvollzug oder einer Regelung des Aufenthaltsstatus zuständig. Nachdem die deutschen Behörden der Wiederaufnahme des Beschwerdeführers innert der in Art. 25 Abs. 1 Dublin-III-VO vorgesehenen Frist, zugestimmt haben (vgl. SEM-act. 17/3), ist die grundsätzliche Zuständigkeit Deutschlands für die Durchführung des Asyl- und Wegweisungsverfahrens gegeben. Es bleibt zu prüfen, ob Gründe für eine Übernahme der sachlichen Zuständigkeit vorliegen.</w:t>
      </w:r>
    </w:p>
    <w:p>
      <w:r>
        <w:rPr>
          <w:b/>
        </w:rPr>
        <w:t>E. 5.1</w:t>
      </w:r>
    </w:p>
    <w:p>
      <w:r>
        <w:t>Der Beschwerdeführer machte diesbezüglich in seiner Beschwerdeschrift sinngemäss geltend, er sei zuerst in Italien registriert worden, wodurch dieses Land für die Prüfung seines Asylgesuchs zuständig sei.</w:t>
      </w:r>
    </w:p>
    <w:p>
      <w:r>
        <w:rPr>
          <w:b/>
        </w:rPr>
        <w:t>E. 5.2</w:t>
      </w:r>
    </w:p>
    <w:p>
      <w:r>
        <w:t>Zur Belegung seiner mutmasslichen Erstregistrierung in Italien reichte er keine Beweismittel ein und ein solcher Nachweis kann auch seinem Eurodac-Auszug nicht entnommen werden (vgl. SEM-act. 1/1). Dazu ist vollständigkeitshalber darauf hinzuweisen, dass besagter Eurodac-Auszug ein förmliches Beweismittel darstellt, das über die Zuständigkeit eines Mitgliedstaates entscheidet, soweit dieses nicht durch Gegenbeweise widerlegt wird (Art. 22 Abs. 3 Bst. a/i und Art. 24 Abs. 4 Dublin-III-VO i.V.m. Anhang II, Verzeichnis A, II/Ziff. 1 und 2, jeweils erster Spiegelstrich, zur Verordnung [EG] Nr. 1560/2003 der Kommission vom 2. September 2003, ABl. L 222/3 vom 5.9.2003).</w:t>
      </w:r>
    </w:p>
    <w:p>
      <w:r>
        <w:rPr>
          <w:b/>
        </w:rPr>
        <w:t>E. 5.3</w:t>
      </w:r>
    </w:p>
    <w:p>
      <w:r>
        <w:t>Den Vorbringen des Beschwerdeführers ist entgegenzuhalten, dass die Zuständigkeit der Dublin-Staaten für die Prüfung eines Antrags auf internationalen Schutz im Falle einer illegalen Einreise oder Aufenthalts nach zwölf Monaten endet (Art. 13 Abs. 1 Dublin-III-VO). Eine allfällige Registrierung des Beschwerdeführers in Italien, die gemäss Eurodac-Auszug noch vor Februar 2016 hätte erfolgen müssen, könnte zu diesem Zeitpunkt somit keine Zuständigkeit der Schweiz mehr begründen. Ob Deutschland, wie der Beschwerdeführer behauptet, bereits zweimal entschieden hat, dass er nach Italien überstellt werden müsse, ist für die Prüfung der Zuständigkeit der Schweiz nach dem Gesagten nicht weiter von Bedeutung.</w:t>
      </w:r>
    </w:p>
    <w:p>
      <w:r>
        <w:rPr>
          <w:b/>
        </w:rPr>
        <w:t>E. 6</w:t>
      </w:r>
    </w:p>
    <w:p>
      <w:r>
        <w:t>In der Beschwerde wird zu Recht nicht geltend gemacht, dass das Asylverfahren in Deutschland systemische Schwachstellen aufweise (Art. 3 Abs. 2 Dublin-III-VO). Unter Hinweis auf die konstante Praxis des Bundesverwaltungsgerichts (vgl. etwa die Urteile des BVGer D-3964/2023 vom 19. Juli 2023 E. 7.3, D-2755/2023 vom 14. Juli 2023 E. 6.2, E-3051/2023 vom 1. Juni 2023 E. 6.2 und D-1442/2023 vom 22. März 2023 E. 8.1) erübrigen sich diesbezüglich weitere Erörterungen.</w:t>
      </w:r>
    </w:p>
    <w:p>
      <w:r>
        <w:rPr>
          <w:b/>
        </w:rPr>
        <w:t>E. 7</w:t>
      </w:r>
    </w:p>
    <w:p>
      <w:r>
        <w:t>Als weitere potentielle Rechtsgrundlage für eine Zuständigkeitsübernahme durch die Schweiz ist Art. 17 Abs. 1 Dublin-III-VO zu prüfen. Allfällige Gründe, welche für eine zwingende Anwendung dieser Ermessensklausel sprechen würden, werden aber weder geltend gemacht noch sind sie ersichtlich. In medizinischer Hinsicht gibt der Beschwerdeführer an, abgesehen von Bauch- Ohren- und Kopfschmerzen gesund zu sein (vgl. SEM-act. 12/3). Das SEM hat auch den Aspekt der humanitären Gründe nach Art. 29a Abs. 3 AsylV 1 hinreichend gewürdigt (vgl. dazu BVGE 2015/9).</w:t>
      </w:r>
    </w:p>
    <w:p>
      <w:r>
        <w:rPr>
          <w:b/>
        </w:rPr>
        <w:t>E. 8</w:t>
      </w:r>
    </w:p>
    <w:p>
      <w:r>
        <w:t>Die Vorinstanz ist demnach zu Recht in Anwendung von Art. 31a Abs. 1 Bst. b AsylG auf das Asylgesuch des Beschwerdeführers nicht eingetreten und hat in Anwendung von Art. 44 AsylG ebenfalls zu Recht die Wegweisung nach Deutschland angeordnet. Die Beschwerde ist abzuweisen und die angefochtene Verfügung zu bestätigen.</w:t>
      </w:r>
    </w:p>
    <w:p>
      <w:r>
        <w:rPr>
          <w:b/>
        </w:rPr>
        <w:t>E. 9</w:t>
      </w:r>
    </w:p>
    <w:p>
      <w:r>
        <w:t>Mit vorliegendem Urteil in der Hauptsache sind die Gesuche um Gewährung der aufschiebenden Wirkung (nach Art. 107a Abs. 2 AsylG) und um Befreiung von der Kostenvorschusspflicht (gemäss Art. 63 Abs. 4 VwVG) gegenstandslos geworden.</w:t>
      </w:r>
    </w:p>
    <w:p>
      <w:r>
        <w:rPr>
          <w:b/>
        </w:rPr>
        <w:t>E. 10</w:t>
      </w:r>
    </w:p>
    <w:p>
      <w:r>
        <w:t>Das Gesuch um Gewährung der unentgeltlichen Rechtspflege ist abzuweisen, da die Begehren - wie sich aus den vorstehenden Erwägungen ergibt - als aussichtslos zu bezeichnen sind (Art. 65 Abs. 1 VwVG). Angesichts des Ausgangs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