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F-1676/2019 vom 28. August 2020</w:t>
      </w:r>
    </w:p>
    <w:p>
      <w:r>
        <w:t>Bundesverwaltungsgericht, 2020-08-28, FR</w:t>
      </w:r>
    </w:p>
    <w:p>
      <w:r>
        <w:rPr>
          <w:b/>
        </w:rPr>
        <w:t xml:space="preserve">Quelle: </w:t>
      </w:r>
      <w:r>
        <w:t>https://mcp.opencaselaw.ch/entscheid/bvger_F-1676_2019</w:t>
      </w:r>
    </w:p>
    <w:p>
      <w:r>
        <w:t>FR: TAF F-1676/2019 du 28 août 2020</w:t>
      </w:r>
    </w:p>
    <w:p>
      <w:r>
        <w:t>IT: TAF F-1676/2019 del 28 agosto 2020</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(sur cette question, cf. notamment arrêts du TAF F-2877/2018 du 14 janvier 2019 consid. 1.1 et C-1148/2013 du 6 février 2014 consid. 1.4).</w:t>
      </w:r>
    </w:p>
    <w:p>
      <w:r>
        <w:rPr>
          <w:b/>
        </w:rPr>
        <w:t>E. 1.2</w:t>
      </w:r>
    </w:p>
    <w:p>
      <w:r>
        <w:t>A moins que la LTAF n'en dispose autrement, la procédure devant le TAF est régie par la PA (cf. art. 37 LTAF en relation avec l'art. 51 al. 1 de la loi fédérale du 29 septembre 1952 sur l'acquisition et la perte de la nationalité suisse [aLN]).</w:t>
      </w:r>
    </w:p>
    <w:p>
      <w:r>
        <w:rPr>
          <w:b/>
        </w:rPr>
        <w:t>E. 1.3</w:t>
      </w:r>
    </w:p>
    <w:p>
      <w:r>
        <w:t>Les recourants ont qualité pour recourir (art. 48 al. 1 PA). Présenté dans la forme et les délais prescrits par la loi, le recours est recevable (art. 50 et art. 52 PA). 2.Le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l'autorité de recours constate les faits d'office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Elle peut donc s'écarter aussi bien des arguments des parties que des considérants juridiques de la décision querellée, fussent-ils incontestés (cf. ATF 140 III 86 consid. 2; arrêt du TF 1C_454/2017 du 16 mai 2018 consid. 4.1 et 4.2). Toutefois, l'autorité saisie se limite en principe aux griefs soulevés et n'examine les questions de droit non invoquées que dans la mesure où les arguments des parties ou le dossier l'y incitent (cf. ATF 122 V 157 consid. 1a et ATAF 2014/24 consid. 2.2). Dans son arrêt, le Tribunal prend en considération l'état de fait existant au moment où il statue (ATAF 2014/1 consid. 2).</w:t>
      </w:r>
    </w:p>
    <w:p>
      <w:r>
        <w:rPr>
          <w:b/>
        </w:rPr>
        <w:t>E. 3.1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et 2010/46 consid. 4).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notammentATAF 2011/54 consid. 5.1; arrêt du TAF F-5322/2017 du 20 décembre 2019 consid. 10).</w:t>
      </w:r>
    </w:p>
    <w:p>
      <w:r>
        <w:rPr>
          <w:b/>
        </w:rPr>
        <w:t>E. 3.2</w:t>
      </w:r>
    </w:p>
    <w:p>
      <w:r>
        <w:t>Dans le cas d'espèce, le Tribunal considère, au vu des considérants qui suivent, que le dossier ne contient pas les éléments nécessaires pour statuer en pleine connaissance de cause sur le présent litige, dont l'objet porte sur le prononcé du 5 mars 2019, par lequel l'autorité inférieure a refusé l'octroi de l'autorisation fédérale à la naturalisation ordinaire des intéressés. 4.L'entrée en vigueur, le 1er janvier 2018, de la loi du 20 juin 2014 sur la nationalité suisse (LN) a entraîné, conformément à son art. 49 en relation avec le ch. I de son annexe, l'abrogation de l'aLN.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l'aLN, dès lors que la demande de naturalisation présentée par les intéressés a été déposée auprès des autorités du canton de Vaud au mois de mars 2013, soit avant l'entrée en vigueur de la nouvelle loi (cf. notamment arrêt du TF 1C_454/2017 du 16 mai 2018 consid. 2 et arrêt du TAF F-6741/2016 du 23 mars 2018 consid. 3.3). Au demeurant, les conditions matérielles de l'octroi de l'autorisation fédérale prescrites par l'art. 14 aLN concernant l'aptitude à la naturalisation et, plus particulièrement,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 [ci-après : Message du Conseil fédéral du 4 mars 2011]). Il sied enfin de préciser que le SEM a édité un double manuel de la nationalité qui lui sert de guide pour le traitement des dossiers de naturalisation (cf. Manuel Nationalité pour les demandes jusqu'au 31.12.2017 [ci-après : Manuel sur la nationalité] et Manuel Nationalité pour les demandes dès le 1.1.2018, publiés sur le site internet www.sem.admin.ch &gt; Publications &amp; service &gt; Directives et circulaires &gt; V. Nationalité [site internet consulté en juillet 2020]; voir aussi arrêt du TAF F-2877/2018 du 14 janvier 2019 consid. 3.4.1). 5.5.1 Tous les citoyens suisses appartiennent à trois communautés. Ils possèdent ainsi un droit de cité communal, cantonal et fédéral (cf. art. 37 de la Constitution fédérale du 18 avril 1999 [Cst., RS 101]). Ces trois droits de cité constituent une unité indivisible (art. 37 al. 1 Cst.). 5.2 5.2.1 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(cf. ATF 139 I 169 consid. 6.1). Si la nationalité suisse s'acquiert par la naturalisation dans un canton et une commune (art. 12 al. 1 aLN), la naturalisation n'est toutefois valable que si une autorisation fédérale a été accordée par l'office compétent (art. 38 al. 2 Cst. et 12 al. 2 aLN), soit actuellement le SEM (arrêt du TAF F-5322/2017 du 20 décembre 2019 consid. 6.1). L'autorisation est accordée par le SEM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aLN). La procédure fédérale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Céline Gutzwiller, Droit de la nationalité et fédéralisme en Suisse, Genève - Zurich - Bâle 2008, nos 539, 549 et 554 ; Minh Son Nguyen, Droit public des étrangers, Berne 2003, p. 716). Cela étant, une doctrine récente suggère qu'il pourrait exister un quasi-droit à la naturalisation et que le principe précité devrait être nuancé (cf. Dieyla Sow/Pascal Mahon, art. 14 Loi sur la nationalité [LN], n° 8 ss, in : Amarelle/Son Nguyen [éd.], Code annoté de droit des migrations, volume V, Berne 2014). En naturalisant, l'Etat ne répond pas seulement à un désir de l'étranger ; il défend en même temps ses propres intérêts (cf. Message du Conseil fédéral relatif à un projet de loi sur l'acquisition et la perte de la nationalité suisse du 9 août 1951 [ci-après : Message du Conseil fédéral du 9 août 1951], FF 1951 II 676). 5.2.2 Dans la pratique, le rôle du SEM, agissant pour la Confédération, se limite fondamentalement à vérifier si le requérant se conforme à l'ordre juridique suisse et s'il ne compromet pas la sûreté intérieure ou extérieure de la Suisse, les cantons et communes étant plus à même de vérifier l'intégration et l'adaptation au mode de vie et usages suisses. Néanmoins, si les autorités fédérales constatent que le requérant, contrairement aux vérifications menées par le canton ou la commune, est insuffisamment intégré, elles refusent de délivrer l'autorisation fédérale. Si les conditions d'octroi d'une autorisation fédérale de naturalisation ne sont pas remplies, le requérant est informé de l'éventualité du rejet de sa demande et se voit accorder le droit d'être entendu (cf. Manuel sur la nationalité, chapitre 4 ch. 4.7.2.1 let. c/bb ; arrêt du TAF F-6597/2016 du 24 novembre 2017 consid. 3.3.2). 5.2.3 Quel que soit le mode de naturalisation, l'aLN exige notamment du requérant qu'il ne mette pas en danger la sûreté intérieure et extérieure du pays (cf. art. 14 let. d, 18 al. 1 let. d et 26 al. 1 let. c aLN). Il s'agit d'une notion juridique indéterminée se référant notamment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ATAF 2019 VII/5 consid. 6.3.2 in fine). Ainsi, la naturalisation ne doit pas être possible si, par son attitude, le recourant met en danger la sûreté intérieure et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Selon la jurisprudence, il suffit que des indices concrets fassent craindre une telle menace, sans qu'il y ait besoin que cette dernière se soit déjà produite (cf. ATAF 2019 VII/5 consid. 6.3.2.2 et 2018 VI/5 consid. 3.3). 5.2.4 Le SEM communique les demandes de naturalisation pour consultation au sens de l'art. 14 let. d aLN au Service de renseignement de la Confédération (ci-après :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 de la Confédération pour les affaires de renseignement et opérations policières préventives de sécurité intérieure et extérieure (ATAF 2015/1 consid. 4.4). 5.2.4.1 Dans la mesure où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Manuel Nationalité pour les demandes dès le 1.1.2018 cité plus haut [cf., en ce sens, ch. 323/2 dudit Manuel]).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l'Office fédéral de la justice [ci-après : OFJ] ou le Ministère public de la Confédération) des prises de position ou des rapports sur l'octroi éventuel de la naturalisation à cet étranger, qui constituent alors des sources d'information sur lesquelles l'autorité administrative peut se fonder (cf. ATAF 2019 VII/5 consid. 6.2, arrêts du TAF 5322/2017 consid. 6.3 et C-3769/2011 du 6 octobre 2014 consid. 4.4). 5.2.4.2 Cela étant, le SEM reste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2018 VI/5 consid. 3.10).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(arrêts du TAF F-4618/2017 du 11 décembre 2019 consid. 4.4.2 et F-1031/2018 du 27 novembre 2019 consid. 7.6 ss.).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TAFF-5322/2017 consid. 6.3; cf., pour comparaison, ATAF 2013/23 consid. 6.4.2 ss et 8.2 ss).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 5.3 De manière plus générale, le droit d'être entendu (dont le respect est examiné d'office par le Tribunal [arrêt du TAF F-197/2017 du 16 mars 2018 consid. 6]), inscrit à l'art. 29 al. 2 Cst,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ou de toute observation communiquée au Tribunal, dans la mesure où il l'estime nécessaire (ATF 136 I 265 consid. 3.2). Ce droit comprend ainsi,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ou son mandataire a le droit de consulter les mémoires des parties et les observations responsives d'autorités (let. a), tous les actes servant de moyens de preuve (let. b) et la copie de décisions notifiées (let. c). Il n'est pas nécessaire que la pièce ait effectivement servi de preuve dans le cas d'espèce. Le droit constitutionnel à la tenue d'un dossier respectant les droits procéduraux des parties oblige les autorités à veiller à ce que tous les actes établis et produits en cours de procédure soient classés de manière claire et ordonnée ; il lui appartient en principe également de paginer son dossier et d'effectuer un bordereau au plus tard lors du prononcé de la décision (cf. arrêt du TF 8C_725/2012 du 27 mars 2013 consid. 4.1.2).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(arrêt du TAF F-1954/2017 du 8 avril 2019 consid. 4.2). L'art. 27 al. 1 PA précise que la consultation d'une pièce peut être refusée si des intérêts publics importants (let. a ; par exemple des intérêts de la défense nationale ou de la sécurité de l'Etat [cf. arrêt du TF 2C_609/2015 consid. 4.1]), des intérêts privés importants (let. b) ou l'intérêt d'une enquête officielle non encore close (let. c) l'exigent. Les restrictions au droit de consulter le dossier doivent cependant respecter le principe de la proportionnalité et l'autorité n'a pas le droit de choisir certaines pièces à communiquer et d'en soustraire d'autres à la consultation, sous réserve des documents internes qui ne concernent pas l'administré (cf. ATF 132 II 485 consid. 3.4;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arrêts du TAF F-349/2016 du 10 mai 2019 consid. 3.1 non publié in ATAF 2019 VII/5 et F-5322/2017 consid. 4.1.1). Encore faut-il ne pas qualifier de notes internes des pièces ou le résultat de preuves déterminantes pour la prise d'une décision (arrêts du TF 1C_159/2014 du 10 octobre 2014 consid. 4.3 et 8C_251/2011 du 19 décembre 2011 consid. 9.1; ATAF 2011/37 consid. 5.4.1 [« Keine internen Akten sind daher zum Beispiel verwaltungsintern erstellte Berichte und Gutachten zu streitigen Sachverhaltsfragen»]).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(ATAF 2014/38 consid. 7.1.1 et 7.2 ; arrêt du TAF F-349/2016 du 10 mai 2019 consid. 3.1, non publié in ATAF 2019 VII/5). 6.En l'occurrence, il sied d'examiner si les règles procédurales ont été respectées par l'autorité inférieure dans la présente affaire. 6.1 Afin de se déterminer sur la demande de naturalisation ordinaire des intéressés, le SEM a pris contact, entre 2015 et 2018, avec le SRC et le DFAE, tout en récoltant diverses informations auprès du Conseiller spécialisé en sécurité et prévention. Dans la décision querellée - rendue quelque cinq ans après que les autorités vaudoises ont fait parvenir le dossier des intéressés au SEM et au terme d'une procédure fédérale marquée par des temps morts, l'autorité intimée a retenu que le recourant avait «toujours été sympathisant du Front islamique du Salut (FIS)», que les services consultés émettaient «un préavis négatif à la naturalisation de l'intéressé ainsi que de son épouse», qu'«un tel acte nuirait en effet considérablement aux relations bilatérales entre la Suisse et l'Algérie» et, enfin, que «l'intérêt public l'emport(ait) sur l'intérêt privé des intéressés à obtenir la nationalité suisse». 6.2 S'agissant tout d'abord des informations fournies durant la procédure de première instance par le Conseiller spécialisé en sécurité et prévention du SEM - auxquelles il est fait allusion au chiffre 6 de la partie «faits» de la décision litigieuse, le Tribunal constate que la pièce correspondante(n° 8) est référencée comme «note interne», soit non destinée à publication, dans le bordereau établi par le SEM. Or, ce rapport renferme des éléments d'information intrinsèques à l'affaire, qui ne sont pas nécessairement connus de l'intéressé (ATF 131 V 35 consid. 4.1). Il aurait donc dû être ouvert à consultation - même restreinte. Cette prise de position constitue certes une partie de la pièce n° 9, référencée comme «document confidentiel» au bordereau et résumée au dossier (pièce n° 11). Néanmoins, ce résumé très succinct - qui ne fait état que des échanges de courriels du SEM avec le DFAE - ne rend pas compte du contenu essentiel de cette prise de position du Conseiller spécialisé en sécurité et prévention (cf. art. 28 PA ; sur la communication du contenu essentiel des préavis du DFAE dans le cadre des procédures de naturalisation, cf. arrêt du TAF F-349/2016 du 10 mai 2019 consid. 3.2.2, non publié in ATAF 2019 VII/5). Quant au résumé des documents émanant du SRC, qui fait l'objet de la pièce n° 4, il s'avère incomplet et ne rend pas fidèlement compte du contenu essentiel des documents en question (cf. art. 28 PA). Ainsi par exemple, l'affirmation du SRC selon laquelle aucun élément actuel ne démontrerait que le recourant aurait des relations suspectes avec des personnes liées à la mouvance djihadiste ne ressort pas du résumé effectué par le SEM. 6.3 Par ailleurs, il ne ressort pas du dossier de la cause que le SEM aurait requis de fedpol ou du Ministère public de la Confédération une prise de position ou un rapport dans le cadre de la procédure de naturalisation des intéressés. Cela apparaît d'autant plus étonnant que l'autorité intimée avait sollicité - et obtenu - de ces deux autorités, durant l'année 1995, un préavis dans le cadre de la procédure d'asile du recourant. 6.4 Ainsi, il appert que l'autorité inférieure - qui doit établir d'office les faits pertinents de manière exacte et complète - n'a pas instruit le dossier de la cause de manière conforme à sa compétence fonctionnelle, aux exigences du droit de procédure et aux circonstances concrètes de l'affaire. Le SEM ne s'est pas de lui-même équipé des documents ou informations circonstanciées nécessaires (en particulier les éventuels renseignements recueillis par fedpol [cf. art. 4 ss. de l'ordonnance du 30 novembre 2001 concernant l'exécution de tâches de police judiciaire au sein de l'Office fédéral de la police, RS 360.1]) pour lui permettre de procéder à sa propre évaluation et ainsi rendre une décision suffisamment motivée (arrêt du TAF F-6598/2017 du 12 juillet 2019 consid. 4.6.2 et 4.6.3). Il apparaît bien plutôt qu'en l'absence d'éléments consistants et déterminants, un rejet des demandes déposées par les recourants ne pouvait être fondé sur une motivation convaincante. Dans la mesure où les motifs qui ont guidé le raisonnement de l'autorité intimée ne ressortent pas clairement de la décision litigieuse, celle-ci est entachée d'un vice dans sa motivation. Sous cet angle, et compte tenu également du résumé tronqué des pièces confidentielles du dossier (cf. supra, consid. 6.2), le droit d'être entendus des intéressés a été violé d'une manière suffisamment grave pour que le Tribunal ne puisse pas réparer cette violation (ATF 145 IV 99 consid. 3.1 et 142 II 218 consid. 2.8.1), compte également tenu du fait que des actes d'instruction additionnels s'imposent. Les soupçons de sympathie du recourant à l'égard du FIS ne sont corroborés que par des activités très anciennes et ne sont étayés par aucun élément récent. Aucune circonstance concrète ne permet, en l'état, de fonder de manière substantielle la thèse selon laquelle il représenterait un danger pour la sûreté intérieure ou extérieure de la Suisse, en particulier sur le plan de sa politique extérieure. Ni son (éventuel) activisme politique, ni l'actualité de liens avec la mouvance islamiste désireuse d'un changement radical en Algérie n'ont été établis à satisfaction par l'autorité inférieure (cf. a contrario ATAF 2019 VII/5 consid. 7.2.2 ; cf. également a contrario arrêt du TF 1D_8/2010 du 25 janvier 2011 consid. 2.8 [« en dépit du temps écoulé, le recourant n'a manifestement pas pris conscience de l'incompatibilité qui pouvait exister entre les thèses extrémistes soutenues par le FIS et le respect des valeurs démocratiques que l'on est en droit d'attendre de la part d'un candidat à la naturalisation »]). 7.Dans la mesure où, en toute apparence, le SEM disposait d'un dossier incomplet, il lui aurait fallu, pour être en mesure de statuer en pleine connaissance de cause, se procurer les pièces déterminantes manquantes. Compte tenu des carences procédurales constatées, il se justifie de renvoyer l'affaire à l'autorité inférieure pour instruction complémentaire. Le SEM requerra et consultera l'intégralité des dossiers constitués par d'autres autorités au sujet du recourant, respectivement sollicitera de leur part - en particulier de fedpol et du Ministère public de la Confédération - une prise de position. Au vu de la récente évolution de la situation socio-politique et sécuritaire en Algérie (cf. notamment Conseils aux voyageurs du DFAE pour l'Algérie [https://www.eda.admin.ch/eda/fr/dfae/representations-et-conseils-aux-voyageurs/algerie/conseils-voyageurs-algerie.html, site consulté en juillet 2020]), l'autorité inférieure sollicitera également une nouvelle prise de position du DFAE. Elle récoltera tous les moyens de preuve utiles mettant en évidence, cas échéant, des indices probants selon lesquels le recourant mettrait en danger la sécurité intérieure et extérieure du pays, respectivement les relations bilatérales entre la Suisse et l'Algérie, au besoin après avoir procédé lui-même ou fait procéder à l'audition des intéressés ou de tiers (témoins, personnes appelées à fournir des renseignements) par les autorités de police locales. Sur la base d'un bordereau soigneusement élaboré, l'autorité inférieure transmettra aux intéressés les pièces et informations nouvellement récoltées, en cas de besoin sous forme caviardée ou de résumé, en leur donnant l'opportunité de s'exprimer en la matière. Il sera ici rappelé qu'en limitant le droit de consulter une pièce du dossier, l'autorité doit opter pour la mesure qui soit la moins invasive possible, en préférant, par exemple, l'anonymisation (« caviardage ») de certains passages d'un texte au refus de divulguer le texte intégral en n'en résumant que les éléments essentiels (arrêt du TF 2C_980/2013 et 2C_981/2013 du 21 juillet 2014 consid. 4.1). En s'appuyant sur un dossier actualisé et complet, le SEM procèdera alors à une nouvelle analyse approfondie du cas et rendra une nouvelle décision dûment motivée, respectueuse des principes juridiques - notamment du droit constitutionnel d'être entendu - et de la jurisprudence applicables en la matière (cf., en particulier, l'arrêt de principe ATAF 2019 VII/5 précité). 8.8.1 Au vu de ce qui précède, le recours est admis, la décision de l'autorité intimée du 5 mars 2019 annulée et la cause renvoyée à cette autorité pour complément d'instruction et nouvelle décision dans le sens des considérants (art. 61 al. 1 in fine PA ; cf. supra, consid. 3.1). Une cassation pour instruction complémentaire équivalant à un gain de cause (cf. arrêt du TF 2C_60/2011 du 12 mai 2011 consid. 2.4), les recourants n'ont pas à supporter de frais de procédure (cf. art. 63 al. 1 a contrario PA), pas plus que l'autorité qui succombe (cf. art. 63 al. 2 PA). 8.2 Les recourants, créanciers solidaires (art. 6a et 7 al. 5 du règlement du 21 février 2008 concernant les frais, dépens et indemnités fixés par le Tribunal administratif fédéral [FITAF, RS 173.320.2]), ont également droit à des dépens pour les frais indispensables et relativement élevés qui leur ont été occasionnés (art. 64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TAF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