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F-1656/2019 vom 5. August 2020</w:t>
      </w:r>
    </w:p>
    <w:p>
      <w:r>
        <w:t>Bundesverwaltungsgericht, 2020-08-05, FR</w:t>
      </w:r>
    </w:p>
    <w:p>
      <w:r>
        <w:rPr>
          <w:b/>
        </w:rPr>
        <w:t xml:space="preserve">Quelle: </w:t>
      </w:r>
      <w:r>
        <w:t>https://mcp.opencaselaw.ch/entscheid/bvger_F-1656_2019</w:t>
      </w:r>
    </w:p>
    <w:p>
      <w:r>
        <w:t>FR: TAF F-1656/2019 du 5 août 2020</w:t>
      </w:r>
    </w:p>
    <w:p>
      <w:r>
        <w:t>IT: TAF F-1656/2019 del 5 agosto 2020</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définitivement en l'occurrence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recourante a qualité pour recourir (cf. art. 48 al. 1 PA). Présenté dans la forme et les délais prescrits par la loi, le recours est recevable (cf. art. 50 et 52 PA).</w:t>
      </w:r>
    </w:p>
    <w:p>
      <w:r>
        <w:rPr>
          <w:b/>
        </w:rPr>
        <w:t>E. 2.1</w:t>
      </w:r>
    </w:p>
    <w:p>
      <w:r>
        <w:t>Le 1er janvier 2019, la loi sur les étrangers du 16 décembre 2005 (LEtr) a connu une modification partielle comprenant également un changement de sa dénomination (modification de la LEI du 16 décembre 2016, RO 2018 3171). Ainsi, la LEtr s'intitule nouvellement loi fédérale sur les étrangers et l'intégration du 16 décembre 2005 (LEI, RS 142.20). En parallèle sont entrées en vigueur la modification de l'ordonnance relative à l'admission, au séjour et à l'exercice d'une activité lucrative du 15 août 2018 (OASA, RO 2018 3173), ainsi que la révision totale de l'ordonnance sur l'intégration des étrangers (OIE, RO 2018 3189).</w:t>
      </w:r>
    </w:p>
    <w:p>
      <w:r>
        <w:rPr>
          <w:b/>
        </w:rPr>
        <w:t>E. 2.2</w:t>
      </w:r>
    </w:p>
    <w:p>
      <w:r>
        <w:t>En l'occurrence, la décision querellée a été prononcée après l'entrée en vigueur au 1er janvier 2019 des modifications de la LEtr du 16 décembre 2016. Il convient de relever que les articles de la LEI applicables dans la présente procédure, soit principalement les art. 5, 10, 11, 67 et 115, n'ont pas subi de modification. En revanche, l'art. 80 aOASA, qui définit les notions d'atteinte à la sécurité et à l'ordre publics, a été abrogé et remplacé par le nouvel art. 77a OASA. Néanmoins, cette modification découle de raisons de systématique et la définition contenue à l'art. 77a OASA reste inspirée du Message du 8 mars 2002 concernant la loi sur les étrangers (FF 2002 3469, 3564 ; voir à ce sujet, Rapport explicatif concernant la modification de l'OASA du 2 août 2018, accessible sur le site du SEM : www.sem.admin.ch, sous Accueil SEM Actualité Projets de législation en cours Projets de législation terminés Paquet 2 : Modification de l'ordonnance relative à l'admission, au séjour et à l'exercice d'une activité lucrative [OASA] et révision totale de l'ordonnance sur l'intégration des étrangers [OIE] Adoption, consulté en juin 2020). Le Tribunal utilisera donc la nouvelle dénomination « LEI ». Il en va de même en rapport avec l'OASA et l'OIE qui seront citées selon leur teneur valable depuis le 1er janvier 2019.</w:t>
      </w:r>
    </w:p>
    <w:p>
      <w:r>
        <w:rPr>
          <w:b/>
        </w:rPr>
        <w:t>E. 2.3</w:t>
      </w:r>
    </w:p>
    <w:p>
      <w:r>
        <w:t>Par ailleurs, il convient de relever que l'ordonnance du 22 octobre 2008 sur l'entrée et l'octroi de visas (aOEV) a été abrogée et remplacée par l'ordonnance du 15 août 2018 sur l'entrée et l'octroi de visas (OEV, RS 142.204), entrée en vigueur le 15 septembre 2018 (cf. art. 71 OEV). Etant donné que la procédure devant l'autorité inférieure est postérieure à cette date, la nouvelle ordonnance est applicable (cf. art. 70 OEV).</w:t>
      </w:r>
    </w:p>
    <w:p>
      <w:r>
        <w:rPr>
          <w:b/>
        </w:rPr>
        <w:t>E. 3</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et ATAF 2009/57 consid. 1.2 ; voir également arrêt du TF 1C_214/2015 du 6 novembre 2015 consid. 2.2.2). Aussi peut-elle admettre ou rejeter le pourvoi pour d'autres motifs que ceux invoqués. Dans son arrêt, elle prend en considération l'état de fait existant au moment où elle statue (ATAF 2014/1 consid. 2).</w:t>
      </w:r>
    </w:p>
    <w:p>
      <w:r>
        <w:rPr>
          <w:b/>
        </w:rPr>
        <w:t>E. 4.1</w:t>
      </w:r>
    </w:p>
    <w:p>
      <w:r>
        <w:t>L'interdiction d'entrée, qui permet d'empêcher l'entrée ou le retour en Suisse d'un étranger dont le séjour y est indésirable, est réglée à l'art. 67 LEI.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4.2</w:t>
      </w:r>
    </w:p>
    <w:p>
      <w:r>
        <w:t>Selon l'art. 67 al. 2 LEI,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LEI). Pour des raisons humanitaires ou pour d'autres motifs importants, l'autorité appelée à statuer peut exceptionnellement s'abstenir de prononcer une interdiction d'entrée ou suspendre provisoirement ou définitivement une interdiction d'entrée (art. 67 al. 5 LEI, dans sa teneur en vigueur depuis le 1er octobre 2016).</w:t>
      </w:r>
    </w:p>
    <w:p>
      <w:r>
        <w:rPr>
          <w:b/>
        </w:rPr>
        <w:t>E. 4.3</w:t>
      </w:r>
    </w:p>
    <w:p>
      <w:r>
        <w:t>Concernant plus spécifiquement les notions de sécurité et d'ordre publics mentionnées à l'art. 67 al. 2 let. a LEI, qui sont à la base de la motivation de la décision contestée,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4.4</w:t>
      </w:r>
    </w:p>
    <w:p>
      <w:r>
        <w:t>Une interdiction d'entrée peut notamment être prononcée lorsque l'étranger a violé les prescriptions du droit en matière d'étrangers (cf. le Message précité, FF 2002 3568).</w:t>
      </w:r>
    </w:p>
    <w:p>
      <w:r>
        <w:rPr>
          <w:b/>
        </w:rPr>
        <w:t>E. 4.5</w:t>
      </w:r>
    </w:p>
    <w:p>
      <w:r>
        <w:t>L'autorité compétente examine selon sa libre appréciation si une interdiction d'entrée au sens de l'art. 67 al. 2 LEI doit être prononcée. Elle doit donc procéder à une pondération méticuleuse de l'ensemble des intérêts en présence et respecter le principe de la proportionnalité (cf. Zünd/Arquint Hill, Beendigung der Anwesenheit, Entfernung und Fernhaltung, in: Uebersax et al. [éd.], Ausländerrecht, 2ème éd., 2009, n° 8.80 p. 356).</w:t>
      </w:r>
    </w:p>
    <w:p>
      <w:r>
        <w:rPr>
          <w:b/>
        </w:rPr>
        <w:t>E. 5</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 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6</w:t>
      </w:r>
    </w:p>
    <w:p>
      <w:r>
        <w:t>Dans un premier temps, il s'agit d'examiner si le prononcé d'une interdiction d'entrée est justifié dans son principe.</w:t>
      </w:r>
    </w:p>
    <w:p>
      <w:r>
        <w:rPr>
          <w:b/>
        </w:rPr>
        <w:t>E. 6.1</w:t>
      </w:r>
    </w:p>
    <w:p>
      <w:r>
        <w:t>Il convient de relever d'abord que la recourante est entrée en Suisse le 16 novembre 2018, alors qu'elle ne disposait d'aucun document de voyage valable, ni d'aucun visa d'entrée dans ce pays. Par ce comportement, elle a clairement enfreint les dispositions légales en matière d'entrée en Suisse (cf. art. 5 LEI et art. 6 par. 1 code frontières Schengen, ce qui peut constituer un motif d'éloignement au sens de l'art. 67 al. 2 let. a LEI; voir, dans des affaires similaires, les arrêts du TAF F-297/2017 du 9 mai 2018 consid. 6.2 et C-5080/2014 du 21 mars 2016 consid. 6). Il sied de rappeler en effet que, conformément à l'art. 5 al. 1 let. a LEI, pour entrer en Suisse, tout étranger doit, notamment, être en possession d'une pièce de légitimation reconnue pour le passage de la frontière et être muni d'un visa si ce dernier est requis. Dans ce contexte, il s'impose de préciser qu'une interdiction d'entrée peut notamment être prononcée lorsque l'étranger a violé les prescriptions du droit des étrangers (cf. Message LEI, FF 2002 3469, 3568) et que, selon la jurisprudence constante du Tribunal de céans, le fait d'entrer, de séjourner ou de travailler en Suisse sans autorisation représente une violation grave des prescriptions de police des étrangers (cf., notamment arrêt du TAF F-4044/2018 du 29 mai 2020 consid. 5.2 et les références citées). En l'espèce, le non-respect par la recourante des dispositions régissant l'entrée et le séjour en Suisse a été clairement établi et cette infraction à l'art. 115 al. 1 let. a LEI, sanctionnée par la justice pénale (cf. ordonnance du Ministère public de Genève du 23 janvier 2019), n'a nullement été contestée en procédure de recours.</w:t>
      </w:r>
    </w:p>
    <w:p>
      <w:r>
        <w:rPr>
          <w:b/>
        </w:rPr>
        <w:t>E. 6.2</w:t>
      </w:r>
    </w:p>
    <w:p>
      <w:r>
        <w:t>Il appert ensuite que, dans son ordonnance du 23 janvier 2019, le Ministère public de la République et canton de Genève a reconnu l'intéressée coupable de faux dans les certificats (art. 252 et 255 CP), pour s'être légitimée avec un passeport falsifié lors de son entrée en Suisse. A ce sujet, on rappellera que l'autorité administrative ne peut s'écarter du jugement rendu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le juge pénal n'a pas élucidé toutes les questions de droit (cf. notamment arrêt du Tribunal administratif fédéral C-6383/2014 du 6 juin 2016 consid. 7.2.2.1). Le Tribunal considère toutefois que tel n'est pas le cas en l'espèce, l'argument avancé par la recourante, selon lequel elle ignorait que son passeport du Guatemala était falsifié, n'étant pas convaincant. Il n'est en effet guère crédible que l'intéressée n'ait pu avoir aucun doute sur l'authenticité de ce passeport, alors qu'elle a déclaré avoir obtenu ce document en faisant appel à des intermédiaires, soit un bureau d'avocats au Guatemala, et en s'acquittant d'une somme disproportionnée (100'000 Euros, honoraires d'avocat compris) pour obtenir ce document. A ce stade, il s'impose donc de retenir que la recourante a, par son comportement, attenté à la sécurité et à l'ordre publics en Suisse, de sorte qu'elle remplit les conditions d'application de l'art. 67 al. 2 let. a LEI. En conséquence, la mesure d'interdiction d'entrée prononcée le 22 février 2019 est justifiée dans son principe.</w:t>
      </w:r>
    </w:p>
    <w:p>
      <w:r>
        <w:rPr>
          <w:b/>
        </w:rPr>
        <w:t>E. 7</w:t>
      </w:r>
    </w:p>
    <w:p>
      <w:r>
        <w:t>Il convient encore d'examiner si la mesure d'éloignement prise par l'autorité intimée satisfait aux principes de proportionnalité et de l'égalité de traitement.</w:t>
      </w:r>
    </w:p>
    <w:p>
      <w:r>
        <w:rPr>
          <w:b/>
        </w:rPr>
        <w:t>E. 7.1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consid. 6.1 et la jurisprudence citée).</w:t>
      </w:r>
    </w:p>
    <w:p>
      <w:r>
        <w:rPr>
          <w:b/>
        </w:rPr>
        <w:t>E. 7.2</w:t>
      </w:r>
    </w:p>
    <w:p>
      <w:r>
        <w:t>Au vu du nombre élevé de contraventions commises dans le domaine de la police des étrangers, les autorités sont contraintes d'intervenir avec sévérité afin d'assurer la stricte application des prescriptions édictées en la matière. Il en va de l'intérêt public de l'Etat à voir respectés l'ordre établi et la législation en vigueur (arrêts du TAF F-919/2018 du 5 juillet 2018consid. 5.2; F-6005/2016 du 10 octobre 2017 consid. 5.2; F-3242/2016 du 9 août 2017 consid. 5.4). Aussi, tenant compte de l'ensemble des éléments objectifs et subjectifs de la cause, le TAF considère que la mesure d'éloignement prise par l'autorité intimée le 22 février 2019 est nécessaire et adéquate afin de prévenir toute nouvelle atteinte à la sécurité et à l'ordre publics en Suisse. En outre, la durée de deux ans de l'interdiction d'entrée respecte le principe de proportionnalité.</w:t>
      </w:r>
    </w:p>
    <w:p>
      <w:r>
        <w:rPr>
          <w:b/>
        </w:rPr>
        <w:t>E. 7.3</w:t>
      </w:r>
    </w:p>
    <w:p>
      <w:r>
        <w:t>Le Tribunal constate enfin qu'il n'existe pas de raisons humanitaires ou d'autres motifs importants justifiant l'abstention ou la suspension de la mesure d'éloignement au sens de l'art. 67 al. 5 LEI. 8.Dans la décision querellée, l'autorité inférieure a également ordonné l'inscription de l'interdiction d'entrée au SIS, signalement qu'elle a toutefois supprimé en date du 18 mars 2020, compte tenu du titre de séjour que la recourante a obtenu en France. L'autorité inférieure a ainsi partiellement modifié la décision querellée en faveur de la recourante, conformément aux normes applicables en la matière. Par conséquent, il y a lieu de considérer que le recours est devenu sans objet sur ce point.</w:t>
      </w:r>
    </w:p>
    <w:p>
      <w:r>
        <w:rPr>
          <w:b/>
        </w:rPr>
        <w:t>E. 9.1</w:t>
      </w:r>
    </w:p>
    <w:p>
      <w:r>
        <w:t>Il ressort de ce qui précède que la décision du SEM du 22 février 2019 est conforme au droit, sous réserve de l'inscription de l'interdiction d'entrée dans le SIS. Le recours est en conséquence rejeté, en tant qu'il porte sur l'annulation de la décision d'interdiction d'entrée du 22 février 2019 et il est devenu sans objet, en tant qu'il porte sur l'inscription de cette mesure d'éloignement dans le SIS.</w:t>
      </w:r>
    </w:p>
    <w:p>
      <w:r>
        <w:rPr>
          <w:b/>
        </w:rPr>
        <w:t>E. 9.2</w:t>
      </w:r>
    </w:p>
    <w:p>
      <w:r>
        <w:t>Vu l'issue de la cause, il y a lieu de mettre les frais de procédure à la charge de la recourante (art. 63 al. 1 PA en relation avec les art. 1 à 3 du règlement du 21 février 2008 concernant les frais, dépens et indemnités fixés par le Tribunal administratif fédéral [FITAF, RS 173.320.2]). Dans la mesure où le signalement dans le SIS a été annulé par le SEM dans le cadre de la procédure de recours (cf. lettre K supra), la recourante a obtenu gain de cause sur cette question et le recours est devenu sans objet sur ce point. Il s'impose toutefois de souligner ici que c'est à bon droit que le SEM avait opéré le signalement de A._______ au SIS, car celle-ci - qui n'est pas une ressortissante de l'un des Etats parties aux Accords d'association à Schengen (lesquels sont énumérés à l'annexe 1 chiffre 1 de la LEI) - faisait l'objet d'une décision d'interdiction d'entrée fondée sur l'art. 67 LEI et n'était alors pas en possession d'un visa ou d'un titre de séjour en cours de validité délivré par un Etat partie à l'accord Schengen. En vertu de l'art. 5 1ère phr. FITAF, lorsqu'une procédure devient sans objet, les frais sont en règle générale mis à la charge de la partie dont le comportement a occasionné cette issue. Il suit de là que la recourante supportera les frais pour cette partie de la procédure également. Cette disposition étant applicable par analogie à la fixation des dépens (cf. art. 15 FITAF), il n'y a pas lieu de lui allouer de dépens.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