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F-1651/2021 vom 15. Februar 2024</w:t>
      </w:r>
    </w:p>
    <w:p>
      <w:r>
        <w:t>Bundesverwaltungsgericht, 2024-02-15, FR</w:t>
      </w:r>
    </w:p>
    <w:p>
      <w:r>
        <w:rPr>
          <w:b/>
        </w:rPr>
        <w:t xml:space="preserve">Quelle: </w:t>
      </w:r>
      <w:r>
        <w:t>https://mcp.opencaselaw.ch/entscheid/bvger_F-1651_2021</w:t>
      </w:r>
    </w:p>
    <w:p>
      <w:r>
        <w:t>FR: TAF F-1651/2021 du 15 février 2024</w:t>
      </w:r>
    </w:p>
    <w:p>
      <w:r>
        <w:t>IT: TAF F-1651/2021 del 15 febbraio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 sous réserve des cas où l'Accord sur la libre circulation des personnes du 21 juin 1999 (ALCP, RS 0.142.112.681) s'applique.</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cf. ATF 140 I 285 précité ibid.)</w:t>
      </w:r>
    </w:p>
    <w:p>
      <w:r>
        <w:rPr>
          <w:b/>
        </w:rPr>
        <w:t>E. 4</w:t>
      </w:r>
    </w:p>
    <w:p>
      <w:r>
        <w:t>En l'espèce, il s'agit tout d'abord de définir l'objet du litige au vu des conclusions et de la motivation du recours.</w:t>
      </w:r>
    </w:p>
    <w:p>
      <w:r>
        <w:rPr>
          <w:b/>
        </w:rPr>
        <w:t>E. 4.1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L'objet du litige peut donc être réduit par rapport à l'objet de la contestation. Il ne peut en revanche, sauf exceptions non pertinentes en l'espèce, s'étendre au-delà de celui-ci (cf. ATF 144 II 359 consid. 4.3 et réf. cit.).</w:t>
      </w:r>
    </w:p>
    <w:p>
      <w:r>
        <w:rPr>
          <w:b/>
        </w:rPr>
        <w:t>E. 4.2</w:t>
      </w:r>
    </w:p>
    <w:p>
      <w:r>
        <w:t>En l'occurrence, la décision attaquée consiste en une interdiction d'entrée pour la Suisse et le Liechtenstein et en une inscription de cette mesure dans le SIS II. De ces deux points du dispositif, le recourant ne conteste que le signalement d'interdiction d'entrée dans le SIS II, comme cela ressort sans équivoque du contenu du recours. Cela étant, compte tenu du rapport accessoire entre l'interdiction d'entrée et le signalement au SIS II, la pratique du Tribunal consiste à procéder, à titre préjudiciel, à l'analyse de la légalité de l'interdiction d'entrée prononcée pour la Suisse et le Liechtenstein (cf. infra consid. 6 et 7 ; en ce sens, également, arrêts du TAF F-3163/2021 du 25 octobre 2021 consid. 4 et F-935/2022 du 19 septembre 2022 consid. 3), avant d'examiner si la publication de celle-ci dans le SIS II, seul objet du litige, est justifiée (cf. infra consid. 8 ; ATAF 2019 VII/2 consid. 4.3).</w:t>
      </w:r>
    </w:p>
    <w:p>
      <w:r>
        <w:rPr>
          <w:b/>
        </w:rPr>
        <w:t>E. 5.1</w:t>
      </w:r>
    </w:p>
    <w:p>
      <w:r>
        <w:t>La notion d'interdiction d'entrée est réglementée à l'art. 67 LEI. Dans ce contexte, il sied de relever que les alinéas 1 et 2 de cette disposition ont connu une modification entrée en vigueur le 22 novembre 2022. En l'espèce, c'est toutefois l'ancien droit qui s'applique, dès lors que la décision attaquée a été prononcée en mars 2021 (cf. arrêts du TAF F-4679/2022 du 3 novembre 2023 consid. 4 et F-5706/2022 du 28 juillet 2023 consid. 5.1.1). Toute citation de l'art. 67 al. 1 et 2 LEI ci-dessous se réfère par conséquent à la version dudit article dans sa version en vigueur au jour du prononcé de la décision attaquée, soit le 18 mars 2021.</w:t>
      </w:r>
    </w:p>
    <w:p>
      <w:r>
        <w:rPr>
          <w:b/>
        </w:rPr>
        <w:t>E. 5.2</w:t>
      </w:r>
    </w:p>
    <w:p>
      <w:r>
        <w:t>En outre, force est de relever que le règlement du Système d'information Schengen a été révisé le 6 mars 2023. En effet, le règlement [CE] 1987/2006 du Parlement européen et du Conseil du 20 décembre 2006 sur l'établissement, le fonctionnement et l'utilisation du système d'information Schengen de deuxième génération [SIS II, JO L 381/4 du 28 décembre 2006]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 En l'espèce, l'inscription au Système d'information Schengen a été faite le 18 mars 2021,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w:t>
      </w:r>
    </w:p>
    <w:p>
      <w:r>
        <w:rPr>
          <w:b/>
        </w:rPr>
        <w:t>E. 5.3</w:t>
      </w:r>
    </w:p>
    <w:p>
      <w:r>
        <w:t>Cela étant, le Tribunal continuera, par souci de clarté, à utiliser l'ancienne dénomination « règlement SIS II ».</w:t>
      </w:r>
    </w:p>
    <w:p>
      <w:r>
        <w:rPr>
          <w:b/>
        </w:rPr>
        <w:t>E. 6.1</w:t>
      </w:r>
    </w:p>
    <w:p>
      <w:r>
        <w:t>Selon l'ancien art. 67 al. 2 let. a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6.2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En vertu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w:t>
      </w:r>
    </w:p>
    <w:p>
      <w:r>
        <w:rPr>
          <w:b/>
        </w:rPr>
        <w:t>E. 6.3</w:t>
      </w:r>
    </w:p>
    <w:p>
      <w:r>
        <w:t>L'autorité compétente examine selon sa libre appréciation si une interdiction d'entrée doit être prononcée. Elle doit alors procéder à une pondération méticuleuse de l'ensemble des intérêts en présence et respecter le principe de la proportionnalité (ATF 139 II 121 consid. 6.5.1 ; ATAF 2017 VII/2 consid. 4.5).</w:t>
      </w:r>
    </w:p>
    <w:p>
      <w:r>
        <w:rPr>
          <w:b/>
        </w:rPr>
        <w:t>E. 6.4</w:t>
      </w:r>
    </w:p>
    <w:p>
      <w:r>
        <w:t>L'interdiction d'entrée au sens du droit des étrangers vise à empêcher l'entrée ou le retour d'un étranger dont le séjour en Suisse est indésirable (cf. arrêt du TF 6B_173/2013 du 19 août 2013 consid. 2.3). Elle n'est pas considérée comme une peine sanctionnant un comportement déterminé, mais comme une mesure administrative ayant pour but de prévenir une atteinte à la sécurité et à l'ordre publics (ATAF 2017 VII/2 consid. 4.4 et 6.4).</w:t>
      </w:r>
    </w:p>
    <w:p>
      <w:r>
        <w:rPr>
          <w:b/>
        </w:rPr>
        <w:t>E. 6.5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F-80/2020 précité consid. 6.3 et jurisprudence citée).</w:t>
      </w:r>
    </w:p>
    <w:p>
      <w:r>
        <w:rPr>
          <w:b/>
        </w:rPr>
        <w:t>E. 7.1</w:t>
      </w:r>
    </w:p>
    <w:p>
      <w:r>
        <w:t>Dans un premier temps, il convient, à titre préjudiciel, de procéder à l'analyse de la légalité de l'interdiction d'entrée prononcée à l'égard du recourant (cf. supra consid. 4.2).</w:t>
      </w:r>
    </w:p>
    <w:p>
      <w:r>
        <w:rPr>
          <w:b/>
        </w:rPr>
        <w:t>E. 7.2</w:t>
      </w:r>
    </w:p>
    <w:p>
      <w:r>
        <w:t>Par arrêt du 4 juin 2020, la Cour d'appel du TPF a condamné le recourant à une peine privative de liberté de six ans pour violation grave de la loi fédérale sur les stupéfiants. Le TPF a notamment retenu que les actes commis par l'intéressé étaient graves, du fait qu'il avait participé, entre novembre 2014 et avril 2015, à quinze livraisons de cocaïne entre les Pays-Bas et la Suisse, pour un total de 18,8 kilos de substance pure. Il a également été soulevé que ce dernier a assumé un rôle important dans ce trafic de stupéfiants, qu'il a fait preuve d'une énergie criminelle considérable et qu'un risque de récidive ne pouvait être totalement exclu (cf. décision querellée p. 2). Cela étant, en raison de cette seule condamnation pénale, il y a déjà lieu de retenir que le recourant a violé de manière très importante des prescriptions légales ayant été édictées dans le but de maintenir la sécurité ainsi que l'ordre publics et réalise dès lors les conditions d'application de l'art. 67 al. 2 let. a LEI.</w:t>
      </w:r>
    </w:p>
    <w:p>
      <w:r>
        <w:rPr>
          <w:b/>
        </w:rPr>
        <w:t>E. 7.3</w:t>
      </w:r>
    </w:p>
    <w:p>
      <w:r>
        <w:t>Il appert également du dossier qu'avant cette condamnation, le recourant avait déjà été condamné par les autorités danoises à une peine privative de liberté d'un an et neuf mois pour trafic de stupéfiants et recel (cf. dossier SEM, pce. 1 p. 55 et décision querellée).</w:t>
      </w:r>
    </w:p>
    <w:p>
      <w:r>
        <w:rPr>
          <w:b/>
        </w:rPr>
        <w:t>E. 7.4</w:t>
      </w:r>
    </w:p>
    <w:p>
      <w:r>
        <w:t>A ce stade, il s'impose donc de retenir que l'intéressé, par son comportement délictueux en Suisse, a indubitablement attenté à la sécurité et à l'ordre publics, de sorte qu'il remplit les conditions d'application de l'art. 67 al. 2 let. a LEI. La mesure d'interdiction d'entrée est donc justifiée dans son principe.</w:t>
      </w:r>
    </w:p>
    <w:p>
      <w:r>
        <w:rPr>
          <w:b/>
        </w:rPr>
        <w:t>E. 8.1</w:t>
      </w:r>
    </w:p>
    <w:p>
      <w:r>
        <w:t>Il convient ensuite de déterminer, à titre préjudiciel, si la menace que l'intéressé représente pour la sécurité et l'ordre publics en Suisse doit être qualifiée de grave et si elle est ainsi susceptible de justifier le prononcé d'une mesure d'éloignement allant au-delà de la durée maximale de cinq ans prévue à l'art. 67 al. 3 1ère phrase LEI.</w:t>
      </w:r>
    </w:p>
    <w:p>
      <w:r>
        <w:rPr>
          <w:b/>
        </w:rPr>
        <w:t>E. 8.1.1</w:t>
      </w:r>
    </w:p>
    <w:p>
      <w:r>
        <w:t>Selon la jurisprudence du Tribunal fédéral, la "menace grave" pour la sécurité et l'ordre publics à même de justifier le prononcé d'une interdiction d'entrée pour une durée supérieure à cinq ans doit nécessairement atteindre un degré de gravité supérieur à la simple "mise en danger" ou "atteinte" au sens de l'art. 67 al. 2 let. a LEI (palier I) ou à la "menace d'une certaine gravité", telle que définie par la jurisprudence relative à l'art. 5 annexe I ALCP (palier I bis),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LEI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 de l'appartenance d'une infraction à un domaine de criminalité particulièrement grave revêtant une dimension transfrontière ce qui est notamment le cas des actes de terrorisme, de la traite d'êtres humains, du trafic de drogues et de la criminalité organisée , de la multiplication d'infractions (récidives) en tenant compte de l'éventuel accroissement de leur gravité ou encore de l'absence de pronostic favorable (cf. ATF 139 II 121 consid. 6.3, et les références citées). Les infractions commises doivent donc avoir le potentiel isolément ou en raison de leur répétition de générer une menace actuelle et grave pour la sécurité et l'ordre publics (cf. ATAF 2014/20 consid. 5.2, 2013/4 consid. 7.2.4, et la jurisprudence citée).</w:t>
      </w:r>
    </w:p>
    <w:p>
      <w:r>
        <w:rPr>
          <w:b/>
        </w:rPr>
        <w:t>E. 8.1.2</w:t>
      </w:r>
    </w:p>
    <w:p>
      <w:r>
        <w:t>Dans le cas particulier, compte tenu de la nature des activités délictuelles commises par le recourant et du caractère récidivant des infractions qu'il a perpétuées durant sa présence sur le territoire suisse (cf. consid. 7.2 supra), le Tribunal est amené à conclure que le palier II, qui présuppose une menace caractérisée, est à l'évidence atteint, de sorte que la limite de la durée maximale prévue à l'art. 67 al. 3 1ère phrase LEI peut être franchie. A l'instar de l'autorité inférieure, il sied de considérer que le trafic de drogues dures, sous cette forme aggravée et dans cette mesure qui a valu au recourant d'être condamné pour violation grave de la LStup avec une dimension transfrontalière, constitue une menace suffisamment grave susceptible de peser sur les intérêts fondamentaux de la communauté.</w:t>
      </w:r>
    </w:p>
    <w:p>
      <w:r>
        <w:rPr>
          <w:b/>
        </w:rPr>
        <w:t>E. 8.2</w:t>
      </w:r>
    </w:p>
    <w:p>
      <w:r>
        <w:t>Il convient encore d'examiner si la durée de la mesure d'éloignement prise par l'autorité inférieure en l'occurrence douze ans satisfait aux principes de la proportionnalité et de l'égalité de traitement.</w:t>
      </w:r>
    </w:p>
    <w:p>
      <w:r>
        <w:rPr>
          <w:b/>
        </w:rPr>
        <w:t>E. 8.2.1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w:t>
      </w:r>
    </w:p>
    <w:p>
      <w:r>
        <w:rPr>
          <w:b/>
        </w:rPr>
        <w:t>E. 8.2.2</w:t>
      </w:r>
    </w:p>
    <w:p>
      <w:r>
        <w:t>En l'occurrence, les motifs retenus à l'appui de la mesure d'éloignement entreprise ne sauraient être contestés (cf. supra consid. 7). En effet, il est à noter que l'interdiction d'entrée prononcée à l'endroit du recourant est une mesure administrative de contrôle qui tend à le tenir éloigné de la Suisse où il a contrevenu aux prescriptions légales en commettant de multiples infractions dont la gravité ne saurait être déniée. Il en va de l'intérêt de l'Etat à voir respecter l'ordre établi et la législation en vigueur. Par conséquent, l'intérêt public à tenir l'intéressé éloigné de Suisse doit être qualifié d'important. En ce qui concerne les intérêts privés de l'intéressé, celui-ci n'a fait valoir aucune attache avec la Suisse. Il ne s'oppose d'ailleurs pas à l'interdiction d'entrée en Suisse, comme il l'a admis dans son mémoire de recours.</w:t>
      </w:r>
    </w:p>
    <w:p>
      <w:r>
        <w:rPr>
          <w:b/>
        </w:rPr>
        <w:t>E. 8.3</w:t>
      </w:r>
    </w:p>
    <w:p>
      <w:r>
        <w:t>Le Tribunal arrive donc à la conclusion qu'au terme d'un examen préjudiciel (cf. supra consid. 4.2), la mesure d'éloignement prononcée est nécessaire et adéquate afin de prévenir toute nouvelle atteinte à la sécurité et à l'ordre publics en Suisse. En outre, la durée de douze ans de la mesure respecte le principe de proportionnalité et correspond à celle prononcée dans des cas analogues (cf. pour comparaison, arrêt du TAF F-1868/2021 du 15 septembre 2022 [ressortissant serbe avec une interdiction d'entrée de treize ans pour infractions qualifiées à la LStup]).</w:t>
      </w:r>
    </w:p>
    <w:p>
      <w:r>
        <w:rPr>
          <w:b/>
        </w:rPr>
        <w:t>E. 9</w:t>
      </w:r>
    </w:p>
    <w:p>
      <w:r>
        <w:t>Reste à examiner si la publication de l'interdiction d'entrée au SIS II est justifiée, ce que l'intéressé conteste à l'appui du recours. A cet égard, il a fait valoir que cette mesure l'empêche de rejoindre sa femme, une ressortissante espagnole résidant en France et de demander un titre de séjour pour regroupement familial. Le signalement de l'interdiction d'entrée au SIS II mettrait ainsi en péril sa situation familiale dans cet Etat et violerait par conséquent l'article 8 CEDH.</w:t>
      </w:r>
    </w:p>
    <w:p>
      <w:r>
        <w:rPr>
          <w:b/>
        </w:rPr>
        <w:t>E. 9.1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SIS II),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Seul l'Etat membre signalant est autorisé à modifier, compléter, rectifier, mettre à jour ou effacer les données qu'il a introduites dans le SIS II (art. 34 al. 2 et 3 du règlement SIS II).</w:t>
      </w:r>
    </w:p>
    <w:p>
      <w:r>
        <w:rPr>
          <w:b/>
        </w:rPr>
        <w:t>E. 9.2</w:t>
      </w:r>
    </w:p>
    <w:p>
      <w:r>
        <w:t>En l'occurrence, bien que le signalement dans le SIS II apparaissait, sur le principe, comme étant justifié au vu des infractions retenues à l'encontre de l'intéressé - dites infractions étant passibles d'une peine privative de liberté pouvant aller bien au-delà d'un an (cf. art. 19 al. 1 let. b et al. 2 let. a LStup, en relation avec l'art. 24 par. 2 du règlement SIS II) , le Tribunal, par décision incidente du 22 avril 2021, a décidé de suspendre temporairement dit signalement. En effet, à l'appui de son recours, l'intéressé a fait valoir que cette mesure représentait un obstacle à son obtention d'une autorisation de séjour au titre du regroupement familial en France. Il a notamment soutenu que les autorités françaises, au vu de l'inscription de cette mesure, ne souhaitaient « pas entrer en matière » sur sa demande, bien qu'il ait été titulaire d'une autorisation de séjour dans ce pays jusqu'en 2020 et se soit entre-temps marié avec une ressortissante espagnole résidant sur le territoire français (cf. pce. 7 TAF). Or, après que le SEM eut supprimé le signalement de l'intéressé au SIS II en date du 10 septembre 2021 (cf. consid. E supra), le Tribunal a invité le recourant à produire des preuves de sa demande d'obtention d'un titre de séjour en France. Nonobstant cette injonction, ce dernier n'y a donné aucune suite. Cela étant, force est de constater que, faute de collaboration du recourant, la crédibilité de ses assertions en lien à la demande d'autorisation de séjour introduite en France au motif de regroupement familial doit être déniée.</w:t>
      </w:r>
    </w:p>
    <w:p>
      <w:r>
        <w:rPr>
          <w:b/>
        </w:rPr>
        <w:t>E. 9.3</w:t>
      </w:r>
    </w:p>
    <w:p>
      <w:r>
        <w:t>C'est également en vain que l'intéressé se plaint d'une violation de l'art. 8 CEDH. En effet, il ne revient pas aux autorités suisses mais françaises de se prononcer sur l'application de cette disposition dans le cadre d'une éventuelle demande de regroupement familial qu'il appartient au recourant de leur adresser. A cet égard, le Tribunal rappelle qu'un signalement dans le SIS II n'empêche pas un Etat Schengen d'autoriser l'entrée, de délivrer un visa ou même d'autoriser le séjour de la personne signalée pour des motifs importants, notamment humanitaires, ou en raison d'obligations internationales (cf. arrêt du TAF F-3094/2022 du 4 septembre 2023 consid. 7.5). Parmi les obligations internationales qui lient également la France figure le droit au respect de la vie privée et familiale garanti par l'art. 8 CEDH. Etant donné que le recourant souhaite entretenir sa vie familiale avec sa femme sur le territoire français, la responsabilité découlant de droits fondés sur l'art. 8 CEDH incombe en premier lieu à cet Etat (cf. arrêt du TAF F-4634/2020 du 10 mai 2021 consid. 9.3). Au cas où, contre toute attente, un titre de séjour français devait être accordé à ce dernier, la Suisse retirerait le signalement SIS II. Elle resterait toutefois libre d'inscrire l'intéressé sur sa liste nationale de signalement (cf. art. 25 al. 1 in fine de la Convention d'application de l'accord de Schengen du 19 juin 1990 [CAAS, JO L 239/19 du 22 septembre 2000], dans la version du règlement (UE) n° 265/2010 du Parlement européen et du Conseil du 25 mars 2010 [JO L 85/1 du 31 mars 2010]).</w:t>
      </w:r>
    </w:p>
    <w:p>
      <w:r>
        <w:rPr>
          <w:b/>
        </w:rPr>
        <w:t>E. 9.4</w:t>
      </w:r>
    </w:p>
    <w:p>
      <w:r>
        <w:t>Dans ces conditions, le signalement au SIS II est en l'espèce entièrement justifié tant par les faits retenus que sous l'angle du principe de proportionnalité. Partant, compte tenu de la menace que représente le recourant au vu des graves infractions commises et pour lesquelles il a été jugé le 4 juin 2020, il convient d'inviter le SEM à réinscrire l'interdiction d'entrée au SIS II. En effet, à défaut de preuve démontrant l'obtention d'un quelconque titre de séjour notamment en France, la Suisse se doit, dans le champ d'application des règles en vigueur dans l'espace Schengen, de préserver les intérêts de tous les Etats parties aux accords d'association à Schengen (cf. ATAF 2011/48 consid. 6.).</w:t>
      </w:r>
    </w:p>
    <w:p>
      <w:r>
        <w:rPr>
          <w:b/>
        </w:rPr>
        <w:t>E. 10</w:t>
      </w:r>
    </w:p>
    <w:p>
      <w:r>
        <w:t>Il ressort de ce qui précède que, par sa décision du 18 mars 2021, l'autorité inférieure n'a ni violé le droit fédéral ni constaté des faits pertinents de manière inexacte ou incomplète ; en outre, cette décision n'est pas inopportune (art. 49 PA). Le recours est dès lors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