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F-1651/2017 vom 30. Mai 2018</w:t>
      </w:r>
    </w:p>
    <w:p>
      <w:r>
        <w:t>Bundesverwaltungsgericht, 2018-05-30, FR</w:t>
      </w:r>
    </w:p>
    <w:p>
      <w:r>
        <w:rPr>
          <w:b/>
        </w:rPr>
        <w:t xml:space="preserve">Quelle: </w:t>
      </w:r>
      <w:r>
        <w:t>https://mcp.opencaselaw.ch/entscheid/bvger_F-1651_2017</w:t>
      </w:r>
    </w:p>
    <w:p>
      <w:r>
        <w:t>FR: TAF F-1651/2017 du 30 mai 2018</w:t>
      </w:r>
    </w:p>
    <w:p>
      <w:r>
        <w:t>IT: TAF F-1651/2017 del 30 maggio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 qui statue définitivement en ce qui concerne l'entrée en Suisse (cf. art. 83 a.ch. 1 LTF) et comme autorité précédant le Tribunal fédéral (ci-après : le TF) concernant l'octroi d'une autorisation de séjour, à moins que ni le droit fédéral ni le droit international ne confèrent un droit à l'autorisation requise (art. 83 a ch. 2 LTF). Pour autant que la LTAF n'en dispose pas autrement, la procédure devant le Tribunal est régie par la PA (cf. art. 37 LTAF). 1.3.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la qualité pour recourir d'A._______ doit être reconnue, étant donné qu'elle a participé en tant que partie à la procédure devant le SEM (cf. le courrier de la recourante du 22 septembre 2016 dans lequel elle fait valoir son droit d'être entendue devant le SEM), qu'elle est spécialement atteinte par la décision querellée et qu'elle a un intérêt digne de protection à son annulation. Pour le surplus, présenté dans la forme et les délais prescrits par la loi, le recours de cette dernière est recevable (cf. art. 50 et 52 PA). Il s'impose dès lors d'entrer en matière sur son recours.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3.1</w:t>
      </w:r>
    </w:p>
    <w:p>
      <w:r>
        <w:t>Les autorités chargées de l'exécution de la LEtr (RS 142.20) s'assistent mutuellement dans l'accomplissement de leurs tâches (art. 97 al. 1 LEtr). Selon l'art. 99 LEtr en relation avec l'art. 40 al. 1 LEtr, le Conseil fédéral (ci-après : le CF)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à l'approbation du SEM en conformité avec la législation et la jurisprudence (à ce sujet, cf. ATF 141 II 169 consid. 4). Il s'ensuit que le SEM et, a fortiori, le Tribunal ne sont pas liés par la décision de l'autorité cantonale d'octroyer une autorisation de séjour à l'intéressée et peuvent parfaitement s'écarter de l'appréciation faite par cette autorité.</w:t>
      </w:r>
    </w:p>
    <w:p>
      <w:r>
        <w:rPr>
          <w:b/>
        </w:rPr>
        <w:t>E. 4</w:t>
      </w:r>
    </w:p>
    <w:p>
      <w:r>
        <w:t>Le présent litige porte sur la question de savoir si la recourante peut prétendre à l'octroi d'une autorisation de séjour et, le cas échéant, d'une autorisation d'entrée en Suisse. La conviction alléguée par l'intéressée quant à l'acquisition de la nationalité suisse ne fait pas l'objet du présent recours et n'est pas démontrée (cf. aussi art. 58c aLN et art. 51 al. 2 LN [RS 141.0]).</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 1 et la jurisprudence citée).</w:t>
      </w:r>
    </w:p>
    <w:p>
      <w:r>
        <w:rPr>
          <w:b/>
        </w:rPr>
        <w:t>E. 5</w:t>
      </w:r>
    </w:p>
    <w:p>
      <w:r>
        <w:t>Dans sa décision du 15 février 2017, le SEM a estimé que, si la recourante était bien la fille d'un ressortissant suisse, celle-ci ne pouvait se prévaloir du droit au regroupement familial dès lors qu'elle était déjà âgée de 21 ans lors du dépôt de sa demande. La recourante n'a pas contesté ce point dans son mémoire de recours du 18 mars 2017, mais a précisé qu'elle était convaincue, tout comme ses deux parents, d'avoir acquis la nationalité suisse étant donné qu'elle est la fille d'un ressortissant suisse. Elle a également invoqué sa bonne foi ainsi que celle de ses parents.</w:t>
      </w:r>
    </w:p>
    <w:p>
      <w:r>
        <w:rPr>
          <w:b/>
        </w:rPr>
        <w:t>E. 5.1</w:t>
      </w:r>
    </w:p>
    <w:p>
      <w:r>
        <w:t>Le regroupement familial est régi par les art. 42 ss LEtr. La demande de l'intéressée doit être envisagée sous l'angle de l'art. 42 LEtr puisque son père est un ressortissant suisse et que celui-ci l'a reconnue. L'art. 42 al.1 LEtr prévoit que le conjoint d'un ressortissant suisse ainsi que ses enfants célibataires de moins de 18 ans ont droit à l'octroi d'une autorisation de séjour et à la prolongation de sa durée de validité à condition de vivre en ménage commun avec lui. Le moment déterminant du point de vue de l'âge comme condition du regroupement familial en faveur d'un enfant est celui du dépôt de la demande (cf. ATF 136 II 497 consid. 3.7).</w:t>
      </w:r>
    </w:p>
    <w:p>
      <w:r>
        <w:rPr>
          <w:b/>
        </w:rPr>
        <w:t>E. 5.2</w:t>
      </w:r>
    </w:p>
    <w:p>
      <w:r>
        <w:t>Dans le cas d'espèce, il est établi que l'intéressée a déposé sa demande de regroupement familial en date du 9 juillet 2015. La recourante était alors déjà âgée de 21 ans. Le fait que cette dernière, ainsi que ses parents, étaient convaincus qu'elle avait obtenu la nationalité suisse de par son père n'est pas pertinent dans le cas d'espèce. Au regard du but de la disposition précitée, il n'est en effet pas envisageable de prévoir des exceptions à la limite d'âge, dès lors que celle-ci tient compte du fait qu'une immigration tardive peut engendrer des problèmes d'intégration particuliers (cf. Message du CF concernant la loi sur les étrangers du 8 mars 2002, in : FF 2002 p. 3469s. ad art. 41 du projet). L'intéressée ne peut en outre tirer aucun argument de sa prétendue ignorance du droit suisse, le principe fondamental qui gouverne les rapports entre les administrés et l'administration étant celui selon lequel « nul n'est censé ignorer la loi » (cf. arrêt du TF 2C_951/2014 du 16 avril 2015 consid. 3.1.1 et arrêt du TAF C-4334/2014 du 19 mai 2015 consid. 7.2 et les références citées). Il incombait dès lors aux intéressés de s'informer sur les conditions d'obtention de la nationalité suisse en faveur de la précitée, et notamment sur l'avancée de la procédure initiée en 2016 en vue de l'obtention de dite nationalité. Le fait que ni la recourante ni ses parents ne se soient inquiétés de cette problématique avant que celle-ci ne dépasse l'âge de la majorité remet par ailleurs en doute sa bonne foi alléguée.</w:t>
      </w:r>
    </w:p>
    <w:p>
      <w:r>
        <w:rPr>
          <w:b/>
        </w:rPr>
        <w:t>E. 5.3</w:t>
      </w:r>
    </w:p>
    <w:p>
      <w:r>
        <w:t>Partant, les conditions de l'art. 42 al. 1 LEtr ne sont pas réalisées et c'est à juste titre que l'autorité inférieure a retenu que la recourante ne pouvait plus se prévaloir des droits prévus par cette disposition.</w:t>
      </w:r>
    </w:p>
    <w:p>
      <w:r>
        <w:rPr>
          <w:b/>
        </w:rPr>
        <w:t>E. 6</w:t>
      </w:r>
    </w:p>
    <w:p>
      <w:r>
        <w:t>Le SEM a ensuite examiné, sous l'angle de l'art 8 CEDH, si la recourante pouvait invoquer le droit au respect de sa vie privée et familiale. Il a toutefois estimé que, compte tenu de sa majorité et en l'absence d'un état de dépendance particulier envers son père, celle-ci ne pouvait se prévaloir de l'art. 8 CEDH. L'intéressée a contesté cette interprétation dans son recours en indiquant que ni la majorité ni l'absence d'un état de dépendance ne sauraient constituer des obstacles à la protection que lui confère l'art. 8 CEDH.</w:t>
      </w:r>
    </w:p>
    <w:p>
      <w:r>
        <w:rPr>
          <w:b/>
        </w:rPr>
        <w:t>E. 6.1</w:t>
      </w:r>
    </w:p>
    <w:p>
      <w:r>
        <w:t>A teneur de l'art. 8 par. 1 CEDH, toute personne a droit au respect de sa vie privée et familiale, de son domicile et de sa correspondance. Certes, selon la jurisprudence, un étranger peut, selon les circonstances, invoquer l'art. 8 par. 1 CEDH pour s'opposer à une éventuelle séparation d'avec sa famille. L'art. 8 CEDH peut ainsi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135 I 143 consid. 1.3.1 et la jurisprudence citée). Cependant, l'art. 8 CEDH ne peut être invoqué que si l'enfant concerné n'a pas encore atteint dix-huit ans au moment où l'autorité de recours statue (cf. ATF 136 II 497 consid. 3.2 et ATF 130 II 137 consid. 2.1).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(cf. ATF 137 I 154 consid. 3.4.2). Il y a lieu de souligner que l'interprétation du rapport de dépendance particulier doit se faire de manière très restrictive (cf. ATF 139 II 393 consid. 5.1).</w:t>
      </w:r>
    </w:p>
    <w:p>
      <w:r>
        <w:rPr>
          <w:b/>
        </w:rPr>
        <w:t>E. 6.2</w:t>
      </w:r>
    </w:p>
    <w:p>
      <w:r>
        <w:t>Dans le cas d'espèce, l'intéressée, actuellement âgée de 23 ans, était déjà majeure au moment du dépôt de la demande et ne se trouve pas dans un état de dépendance particulier vis-à-vis de son père. En effet, il ressort des pièces du dossier que la recourante a grandi avec sa mère en Ethiopie et n'a eu que très peu de contact avec son père qui a toujours vécu en Suisse. Certes, elle est venue en Suisse une fois pour rendre visite à son père et celui-ci s'est rendu en Ethiopie pour les trois premiers anniversaires de sa fille puis lui a ensuite régulièrement envoyé des cadeaux. Cela ne suffit cependant pas à établir un lien de dépendance particulier au sens du considérant ci-dessus.</w:t>
      </w:r>
    </w:p>
    <w:p>
      <w:r>
        <w:rPr>
          <w:b/>
        </w:rPr>
        <w:t>E. 6.3</w:t>
      </w:r>
    </w:p>
    <w:p>
      <w:r>
        <w:t>Partant, la recourante ne peut pas se prévaloir de l'art. 8 CEDH pour contester la décision du SEM du 15 février 2017.</w:t>
      </w:r>
    </w:p>
    <w:p>
      <w:r>
        <w:rPr>
          <w:b/>
        </w:rPr>
        <w:t>E. 7</w:t>
      </w:r>
    </w:p>
    <w:p>
      <w:r>
        <w:t>Finalement, l'autorité inférieure a analysé le cas sous l'angle de l'art. 30 al. 1 let. b LEtr.</w:t>
      </w:r>
    </w:p>
    <w:p>
      <w:r>
        <w:rPr>
          <w:b/>
        </w:rPr>
        <w:t>E. 7.1</w:t>
      </w:r>
    </w:p>
    <w:p>
      <w:r>
        <w:t>A ce propos, le SEM a estimé que la recourante ne se trouvait pas dans une situation de détresse personnelle en Ethiopie et que sa situation personnelle et familiale ne constituait pas un cas individuel d'extrême gravité auquel seul l'octroi d'une autorisation de séjour en Suisse pouvait remédier. A l'appui de sa position, le SEM a relevé que l'intéressée n'entretenait pas de relation étroite et effective avec son père dès lors qu'elle n'avait vécu qu'avec sa mère, que son père n'était venu la voir qu'à trois reprises, lors de ses trois premiers anniversaires, et qu'ils n'avaient ensuite plus eu de contact jusqu'à ses 20 ans. En outre, l'intéressée n'avait jamais été financièrement à la charge de son père et ne comptait pas faire ménage commun avec lui, une fois en Suisse, puisque son père avait acquis un bien immobilier pour y loger sa fille. Pour le surplus, le SEM a également relevé que l'intéressée, âgée aujourd'hui de 23 ans, avait vécu toute sa vie durant dans son pays d'origine, pays dans lequel elle suivait actuellement des études universitaires et où vivait sa mère. Elle avait donc des liens importants avec ce pays, bien plus forts que ceux qu'elle pourrait avoir avec la Suisse, où elle n'avait effectué qu'un séjour touristique de courte durée et dont elle devait apprendre la langue. L'autorité inférieure a encore retenu que la situation de la recourante ne constituait pas une situation différente de celle d'autres étrangers qui vivaient dans un pays éloigné de celui de leurs parents et qui ne pouvaient, en raison d'obstacles administratifs ou faute de moyens financiers, partager leur quotidien comme ils le désiraient. Pour la recourante, le fait qu'elle ne se trouvait pas dans un état de dépendance particulier par rapport à son père ne pouvait constituer un obstacle à la protection dont elle se prévalait et l'absence de liens sociaux et professionnels intenses avec la Suisse était sans pertinence dès lors qu'elle n'avait jamais vécu en Suisse. Le SEM était tombé dans l'arbitraire dès lors qu'il avait considéré que les intéressés n'avaient pas l'intention de faire ménage commun. En effet, si elle n'a pas contesté l'acquisition d'un bien immobilier indépendant en sa faveur, elle a toutefois précisé que celui-ci se situait à côté de l'immeuble de son père et qu'ils partageraient leurs repas et se verraient quotidiennement, ce qui équivaudrait à un ménage commun. Finalement, l'intéressée a précisé qu'elle étudiait le français depuis un certain temps à l'Université d'Addis-Abeba.</w:t>
      </w:r>
    </w:p>
    <w:p>
      <w:r>
        <w:rPr>
          <w:b/>
        </w:rPr>
        <w:t>E. 7.2</w:t>
      </w:r>
    </w:p>
    <w:p>
      <w:r>
        <w:t>A cet égard, il convient tout d'abord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En principe, les autorités fédérales ne peuvent donc se prononcer sur l'octroi d'une autorisation de séjour en vertu d'une autre disposition que celle dont l'autorité cantonale a fait application (cf. arrêt du Tribunal F-1316/2016 du 5 mars 2018 consid. 4.1 et les références citées). Or, en l'occurrence, le SMIG s'est déclaré favorable à l'octroi d'une autorisation de séjour en faveur de l'intéressée en vertu du regroupement familial. Il ne s'est toutefois jamais prononcé sur l'octroi éventuel d'une dérogation aux conditions d'admission en application de l'art. 30 al. 1 let. b LEtr. Dans ces conditions, c'est à tort que le SEM a examiné une éventuelle application de la disposition légale précitée.</w:t>
      </w:r>
    </w:p>
    <w:p>
      <w:r>
        <w:rPr>
          <w:b/>
        </w:rPr>
        <w:t>E. 7.3</w:t>
      </w:r>
    </w:p>
    <w:p>
      <w:r>
        <w:t>Cela étant, par économie de procédure, le Tribunal observe que les conditions restrictives posées par la loi et la jurisprudence à l'octroi d'une autorisation de séjour pour cas de rigueur fondée sur l'art. 30 al. 1 let. b LEtr ne sont, en tout état, pas réunies dans le cas particulier.</w:t>
      </w:r>
    </w:p>
    <w:p>
      <w:r>
        <w:rPr>
          <w:b/>
        </w:rPr>
        <w:t>E. 7.3.1</w:t>
      </w:r>
    </w:p>
    <w:p>
      <w:r>
        <w:t>A teneur de l'art. 30 al. 1 LEtr, il est possible de déroger aux conditions d'admission (art. 18 à 29 LEtr) notamment dans le but de tenir compte des cas individuels d'une extrême gravité ou d'intérêts publics majeurs (let. b). L'art. 31 al. 1 de l'ordonnance du 24 octobre 2007 relative à l'admission, au séjour et à l'exercice d'une activité lucrative (OASA, RS 142.201), qui comprend une liste des critères à prendre en considération pour la reconnaissance d'une situation d'extrême gravité, précise que,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ne doivent être réalisés cumulativement (cf. ATAF 2009/40 consid. 6.2 ;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 2007/45 consid. 4.1 à 4.3 ; 2007/44 consid. 4.1 et 4.2).</w:t>
      </w:r>
    </w:p>
    <w:p>
      <w:r>
        <w:rPr>
          <w:b/>
        </w:rPr>
        <w:t>E. 7.3.2</w:t>
      </w:r>
    </w:p>
    <w:p>
      <w:r>
        <w:t>En l'espèce, la recourante est née en 1994 en Ethiopie et y a passé toute son enfance et son adolescence. Elle a donc grandi et étudié dans ce pays, ce qui démontre qu'elle y est intégrée et qu'elle a en outre des liens importants avec celui-ci. L'intéressée a passé plus d'un mois en Suisse auprès de son père lorsqu'elle était âgée de 20 ans, mais cela ne saurait de loin être suffisant pour retenir des liens avec la Suisse qui seraient plus forts que ceux qu'elle a avec son pays d'origine. En ce qui concerne sa situation familiale, la recourante n'entretient pas de relation étroite avec son père qui se trouve en Suisse. Il convient de rappeler que ceux-ci n'ont eu que très peu de contact (cf. consid. 6.2 supra). Il ressort également du dossier que l'intéressée n'a jamais été à la charge financière de son père et qu'elle a toujours été entretenue par sa mère. Bien que cela ne soit pas décisif pour le présent cas d'espèce, il faut tout de même souligner que le fait que les prénommés n'aient pas l'intention de résider sous le même toit, peu importe la proximité des logements ou les activités qu'ils envisagent de partager, confirme l'absence de relation étroite entre père et fille. Il convient, pour le surplus, de se rallier à la position du SEM lorsqu'il retient que la situation de la recourante ne diffère guère de celle d'autres étrangers qui vivent dans un pays éloigné de celui de leurs parents et qui ne peuvent partager leur quotidien. En effet, le Tribunal ne voit pas dans quelle mesure la prénommée pourrait se prévaloir d'une situation de détresse personnelle dans le sens où une décision négative entraînerait de graves conséquences pour elle.</w:t>
      </w:r>
    </w:p>
    <w:p>
      <w:r>
        <w:rPr>
          <w:b/>
        </w:rPr>
        <w:t>E. 7.4</w:t>
      </w:r>
    </w:p>
    <w:p>
      <w:r>
        <w:t>Pour toutes ces raisons, il y a lieu de confirmer que la situation de la recourante ne constituait pas un cas individuel d'une extrême gravité au sens de l'art. 30 al. 1 let. b LEtr.</w:t>
      </w:r>
    </w:p>
    <w:p>
      <w:r>
        <w:rPr>
          <w:b/>
        </w:rPr>
        <w:t>E. 8</w:t>
      </w:r>
    </w:p>
    <w:p>
      <w:r>
        <w:t>Au vu des considérants qui précèdent, c'est donc à bon droit que l'autorité inférieure a refusé d'approuver l'octroi d'une autorisation de séjour en faveur de l'intéressée. Aussi, le SEM a exercé son pouvoir d'appréciation conformément au droit. La prénommée n'obtenant pas d'autorisation de séjour, c'est à juste titre également que le SEM a refusé de lui octroyer une autorisation d'entrée destinée à lui permettre de se rendre en Suisse aux fins d'y séjourner durablement. En effet, le refus d'autorisation d'entrée prononcé par le SEM est directement et uniquement lié à la décision d'octroi de l'autorisation de séjour litigieuse (cf. art. 5 LEtr). Cela étant, le Tribunal souligne que l'entrée en Suisse reste en principe possible pour la recourante dans le cadre d'une visite ponctuelle, auprès de son père.</w:t>
      </w:r>
    </w:p>
    <w:p>
      <w:r>
        <w:rPr>
          <w:b/>
        </w:rPr>
        <w:t>E. 9</w:t>
      </w:r>
    </w:p>
    <w:p>
      <w:r>
        <w:t>Il ressort de ce qui précède que, par sa décision du 15 février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Aucun dépens ne sera mis à la charge de l'autorité intimée, la recourante n'ayant pas obtenu gain de cause (cf. art. 7ss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