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F-1649/2018 vom 8. Mai 2019</w:t>
      </w:r>
    </w:p>
    <w:p>
      <w:r>
        <w:t>Bundesverwaltungsgericht, 2019-05-08, FR</w:t>
      </w:r>
    </w:p>
    <w:p>
      <w:r>
        <w:rPr>
          <w:b/>
        </w:rPr>
        <w:t xml:space="preserve">Quelle: </w:t>
      </w:r>
      <w:r>
        <w:t>https://mcp.opencaselaw.ch/entscheid/bvger_F-1649_2018</w:t>
      </w:r>
    </w:p>
    <w:p>
      <w:r>
        <w:t>FR: TAF F-1649/2018 du 8 mai 2019</w:t>
      </w:r>
    </w:p>
    <w:p>
      <w:r>
        <w:t>IT: TAF F-1649/2018 del 8 maggio 2019</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 recourant, en tant qu'hôte en Suisse, a qualité pour recourir (art. 48 al. 1 PA). Présenté dans la forme et les délais prescrits par la loi, le recours est recevable (art. 50 et 52 PA).</w:t>
      </w:r>
    </w:p>
    <w:p>
      <w:r>
        <w:rPr>
          <w:b/>
        </w:rPr>
        <w:t>E. 1.4</w:t>
      </w:r>
    </w:p>
    <w:p>
      <w:r>
        <w:t>L'objet du litige consiste à déterminer s'il y a lieu d'octroyer un visa Schengen en faveur de B._______comme le recourant le requiert. Le Tribunal procèdera dès lors à un rappel des règles légales pertinentes (consid. 4 et 5) avant d'en tirer les conclusions qui s'imposent dans le cas d'espèce (consid. 6).</w:t>
      </w:r>
    </w:p>
    <w:p>
      <w:r>
        <w:rPr>
          <w:b/>
        </w:rPr>
        <w:t>E. 2.1</w:t>
      </w:r>
    </w:p>
    <w:p>
      <w:r>
        <w:t>Le Tribunal examine les décisions qui lui sont soumises avec un plein pouvoir d'examen en fait et en droit. 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 cf. ATAF 2014/24 consid. 2.2 et ATAF 2009/57 consid. 1.2 ; voir également arrêt du TF 1C_214/2015 du 6 novembre 2015 consid. 2.2.2). Aussi peut-il admettre ou rejeter le pourvoi pour d'autres motifs que ceux invoqués (cf. notamment ATAF 2007/41 consid. 2).</w:t>
      </w:r>
    </w:p>
    <w:p>
      <w:r>
        <w:rPr>
          <w:b/>
        </w:rPr>
        <w:t>E. 2.3</w:t>
      </w:r>
    </w:p>
    <w:p>
      <w:r>
        <w:t>Dans son arrêt, le Tribunal prend en considération l'état de fait existant au moment où il statue (cf. ATAF 2014/1 consid. 2 et la jurisprudence citée).</w:t>
      </w:r>
    </w:p>
    <w:p>
      <w:r>
        <w:rPr>
          <w:b/>
        </w:rPr>
        <w:t>E. 3.1</w:t>
      </w:r>
    </w:p>
    <w:p>
      <w:r>
        <w:t>Le 1er janvier 2019, la loi sur les étrangers du 16 décembre 2005 (RS 142.20, LEtr) a connu une modification partielle comprenant également un changement de sa dénomination (modification de la LEtr du 16 décembre 2016, RO 2018 3171). Ainsi, la LEtr s'intitule nouvellement loi fédérale sur les étrangers et l'intégration du 16 décembre 2005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Comme précisé dans sa jurisprudence (arrêt du TAF F-3709/2017 du 14 janvier 2019 consid. 2),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w:t>
      </w:r>
    </w:p>
    <w:p>
      <w:r>
        <w:rPr>
          <w:b/>
        </w:rPr>
        <w:t>E. 3.3</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4.1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 voir également arrêt du TAF F-7224/2016 du 10 octobre 2017 consid. 3, et les réf. cit.).</w:t>
      </w:r>
    </w:p>
    <w:p>
      <w:r>
        <w:rPr>
          <w:b/>
        </w:rPr>
        <w:t>E. 4.2</w:t>
      </w:r>
    </w:p>
    <w:p>
      <w:r>
        <w:t>D'une manière générale,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ch. 2.2 p. 3531, ad art. 3 du projet de loi ; voir également ATF 135 II 1 consid. 1.1 concernant une autorisation de séjour et ATAF 2014/1 consid. 4.1.1 ; 2011/48 consid. 4.1 ; 2009/27 consid. 3, ainsi que la jurisprudence citée).</w:t>
      </w:r>
    </w:p>
    <w:p>
      <w:r>
        <w:rPr>
          <w:b/>
        </w:rPr>
        <w:t>E. 4.3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w:t>
      </w:r>
    </w:p>
    <w:p>
      <w:r>
        <w:rPr>
          <w:b/>
        </w:rPr>
        <w:t>E. 4.4</w:t>
      </w:r>
    </w:p>
    <w:p>
      <w:r>
        <w:t>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 2011/48 consid. 4.1).</w:t>
      </w:r>
    </w:p>
    <w:p>
      <w:r>
        <w:rPr>
          <w:b/>
        </w:rPr>
        <w:t>E. 5.1</w:t>
      </w:r>
    </w:p>
    <w:p>
      <w:r>
        <w:t>Les dispositions sur la procédure en matière de visa ainsi que sur l'entrée en Suisse et la sortie de ce pays ne s'appliquent que dans la mesure où les Accords d'association à Schengen, qui sont mentionnés àl'Annexe 1, ch. 1 LEtr, ne contiennent pas de dispositions divergentes (cf. art. 2 al. 4 et 5 LEtr).</w:t>
      </w:r>
    </w:p>
    <w:p>
      <w:r>
        <w:rPr>
          <w:b/>
        </w:rPr>
        <w:t>E. 5.2</w:t>
      </w:r>
    </w:p>
    <w:p>
      <w:r>
        <w:t>S'agissant des conditions d'entrée en Suisse pour un court séjour (soit un séjour n'excédant pas 90 jours sur toute période de 180 jours), l'art. 2 al. 1 de l'ordonnance sur l'entrée et l'octroi de visas du 22 octobre 2008 (OEV, RS 142.204) - respectivement l'art. 3 al. 1 de la nouvelle ordonnance du 15 août 2018 sur l'entrée et l'octroi de visas (nOEV, RS 142.204), dont la date d'entrée en vigueur a été fixée au 15 septembre 2018 (cf. art. 70 nOEV [disposition transitoire] et 71 nOEV) et qui ne se distingue pas matériellement de sa version antérieure sur ce point -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5.3</w:t>
      </w:r>
    </w:p>
    <w:p>
      <w:r>
        <w:t>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5.4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(cf. art. 12 al. 1 en relation avec l'art. 2 al. 4 OEV resp. art. 2 let. d ch. 2, art. 3 al. 4 et al. 5, art. 11 let. b nOEV ; art. 32 par. 1 en relation avec l'art. 25 par. 1 let. a et par. 2 du code des visas et art. 6 par. 5 let. a et c du code frontières Schengen).</w:t>
      </w:r>
    </w:p>
    <w:p>
      <w:r>
        <w:rPr>
          <w:b/>
        </w:rPr>
        <w:t>E. 5.5</w:t>
      </w:r>
    </w:p>
    <w:p>
      <w:r>
        <w:t>Le Règlement (CE) 539/2001 du Conseil du 15 mars 2001 (JO L 81 du 21 mars 2001, p. 1-7) - applicable par renvoi - différencie, en sonart. 1 par. 1 et 2, les ressortissants des Etats tiers selon qu'ils sont soumis ou non à l'obligation du visa. En tant que ressortissants malgache, l'invitée est soumise à l'obligation du visa (cf. annexe I du règlement [CE] 539/2001).</w:t>
      </w:r>
    </w:p>
    <w:p>
      <w:r>
        <w:rPr>
          <w:b/>
        </w:rPr>
        <w:t>E. 6</w:t>
      </w:r>
    </w:p>
    <w:p>
      <w:r>
        <w:t>Selon une pratique constante des autorités, une autorisation d'entrée en Suisse ne peut être délivrée à des étrangers que s'il n'existe pas de doutes fondés quant à leur retour dans leur patrie dans les délais impartis (cf. ATAF 2014/1 consid. 4.3 et 4.4), soit en raison de la situation politique ou économique prévalant dans celle-ci, soit en raison de la situation personnelle des requérants. Tel est le cas si, sur le vu de l'ensemble des circonstances, il existe un haut degré de probabilité que l'étranger retourne dans son pays à l'échéance du visa convoité (cf. arrêt du TAF F-4875/2015 du 13 septembre 2016 consid. 6.1).</w:t>
      </w:r>
    </w:p>
    <w:p>
      <w:r>
        <w:rPr>
          <w:b/>
        </w:rPr>
        <w:t>E. 6.1</w:t>
      </w:r>
    </w:p>
    <w:p>
      <w:r>
        <w:t>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donc reprocher à l'autorité de prendre une décision contraire à la loi lorsque dite autorité se base sur les indices et l'évaluation susmentionnés pour appliquer l'article précité. Ainsi,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arrêt du TAF C-2483/2014 du 17 novembre 2014 consid. 6.1 et la réf. citée ; et l'arrêt du TAF F-7110/2016 du 29 septembre 2017 consid. 5.3 et les réf. cit).</w:t>
      </w:r>
    </w:p>
    <w:p>
      <w:r>
        <w:rPr>
          <w:b/>
        </w:rPr>
        <w:t>E. 6.2</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arrêt du TAF F-4875/2015 ibid.). Ainsi, il y a lieu de se montrer d'autant plus exigeant que la situation dans le pays d'origine est difficile (cf. ATAF 2014/1 consid. 6.1).</w:t>
      </w:r>
    </w:p>
    <w:p>
      <w:r>
        <w:rPr>
          <w:b/>
        </w:rPr>
        <w:t>E. 6.3</w:t>
      </w:r>
    </w:p>
    <w:p>
      <w:r>
        <w:t>A ce propos, il faut prendre en considération la qualité de vie et les conditions économiques particulières que connaît l'ensemble de la population à Madagascar. Avec un produit intérieur brut (PIB) par habitant de USD 400.- en 2017 (source : Banque mondiale : https://donnees.banquemondiale.org/indicateur/NY.GNP.PCAP.CD?locations=MG, consulté au mois d'avril 2019), cet Etat demeure très en dessous des standards européens. Selon les valeurs de 2017, l'indice de développement humain (IDH), qui prend en compte la santé, l'éducation et le revenu des personnes, le classe en 161ème position sur 189 Etats (source : rapport sur le développement humain de 2018 du Programme des Nations Unies pour le développement (PNUD), disponible à l'adresse : http://hdr.undp.org/sites/default/files/2018_human_development_statistical_update.pdf, consulté au mois d'avril 2019). Dès lors, les conditions socio-économiques difficiles à Madagascar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la recourante connaissant son hôte en Suisse depuis plusieurs années (cf. notamment arrêt du TAF F-748/2017 du 1er décembre 2017 consid. 5.3). Compte tenu de la situation générale prévalant à Madagascar et aux nombreux avantages qu'offrent la Suisse et d'autres pays membres de l'Espace Schengen (en termes de niveau et de qualité de vie, d'emploi, de sécurité, d'infrastructures scolaires et socio-médicales, etc.), le Tribunal ne saurait de prime abord faire abstraction du risque d'une éventuelle prolongation par l'intéressée de son séjour sur le territoire helvétique au-delà de la durée de validité de son visa (dans le même sens, cf. notamment arrêt du TAF F-748/2017 précité consid. 5.4 et la réf. cit.).</w:t>
      </w:r>
    </w:p>
    <w:p>
      <w:r>
        <w:rPr>
          <w:b/>
        </w:rPr>
        <w:t>E. 6.4</w:t>
      </w:r>
    </w:p>
    <w:p>
      <w:r>
        <w:t>Cela étant, l'autorité ne saurait se fonder sur la seule situation prévalant dans le pays de provenance de l'intéressée pour conclure à l'absence de garantie quant à sa sortie de Suisse, mais doit également prendre en considération les particularités du cas d'espèce (cf. ATAF 2009/27 précité, consid. 7 et 8). Il convient dès lors d'examiner si la situation personnelle, familiale, professionnelle et patrimoniale de la partie requérante plaide en faveur de sa sortie ponctuelle de Suisse, respectivement de l'Espace Schengen, au terme du séjour envisagé.</w:t>
      </w:r>
    </w:p>
    <w:p>
      <w:r>
        <w:rPr>
          <w:b/>
        </w:rPr>
        <w:t>E. 6.4.1</w:t>
      </w:r>
    </w:p>
    <w:p>
      <w:r>
        <w:t>En l'occurrence, l'intéressée est jeune, célibataire et n'a pas fait valoir de relations familiales particulières, notamment de lien de dépendance, qui l'obligeraient à retourner dans son pays d'origine à la fin du séjour envisagé (sur ce plan-là, seul est généralement pris en compte la présence d'enfants ou d'un époux, et non la présence d'autres membres de la famille vis-à-vis desquels l'intéressée n'a aucune obligation d'entretien). S'agissant de sa situation professionnelle, l'invitée est étudiante à l'université, où elle suit une formation qu'elle indique vouloir terminer. Sur ce plan, le recourant a versé au dossier une copie d'un « certificat de scolarité » émis par l'Université (...) en date du 28 janvier 2019, qui confirme que la requérante est inscrite pour l'année universitaire 2018/2019 au département de marketing, publicité et journalisme. Le recourant a également indiqué dans son mémoire de recours que la requérante aurait en outre sollicité une autorisation d'absence du 15 avril au 12 juillet qui lui avait été accordée (cf. attestation du recteur de l'université (...), du 18 janvier 2018), démontrant ainsi avoir pris toutes les précautions que l'on pourrait attendre d'elle pour que son cursus universitaire ne soit pas affecté et pour qu'elle puisse normalement reprendre ses études à son retour. Ce statut d'étudiante ne suffit toutefois pas à garantir le départ ponctuel de l'invitée à l'échéance du visa sollicité. Sans remettre en question l'existence d'attaches parentales ou affectives significatives dans son pays d'origine, il ne ressort pas du dossier que l'invitée ait en effet des responsabilités particulières familiales ou professionnelles qui l'inciteraient à quitter la Suisse le moment venu. Bien au contraire, si l'on se réfère à l'intégralité de ses conditions d'existence, il y a lieu de constater qu'elle n'a pas de revenus propres, et qu'étant jeune, célibataire et sans enfants, il existe un risque important que l'invitée décide de prolonger son séjour sur le territoire helvétique à l'échéance de son visa. S'agissant des assurances données par l'hôte en Suisse, notamment sur le plan financier, quant au départ ponctuel de l'intéressée à l'issue de son séjour, il y a lieu de rappeler qu'elles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(cf. ATAF 2009/27 consid. 9 et notamment arrêt du TAF F-4176/2017 du 1er mars 2018 consid. 6). Le fait que le recourant ait pu inviter une autre « amie malgache » en Suisse et que celle-ci ait pu obtenir des visas Schengen par le passé est sans incidence sur les considérations qui font l'objet de l'analyse du cas d'espèce. Enfin, la référence du recourant dans son mémoire de recours à l'arrêt du TAF C-4577-2014 du 26 février 2015, consid. 4.2.2, ne lui est d'aucun secours. En effet, la situation de fait dans l'arrêt précité est particulière et non comparable à celui de la présente cause. Ainsi, non seulement la demande de visa sollicitée dans cette affaire concernait une enfant mineure en âge de scolarité qui venait visiter son père qui habitait en Suisse avec sa deuxième épouse, mais encore la période du visa sollicité recouvrait la durée des vacances de l'enfant. Dans notre affaire, la période du visa empiète passablement sur l'année universitaire de l'intéressée, voire même sur les examens de la formation prétendument suivie, ce qui laisse planer certains doutes quant au sérieux de l'engagement de l'intéressée dans ses études et enfin le motif de la visite, à savoir une rencontre avec une personne non-membre de sa famille avec laquelle elle entretiendrait des liens amicaux voire amoureux ne présente aucune garantie de sortie de l'Espace Schengen. Le Tribunal relève enfin que le fait que l'invitée n'obtienne pas un visa pour rendre visite au recourant en Suisse ne les empêche pas de maintenir des relations, ceux-ci pouvant se rencontrer hors de Suisse. Compte tenu par ailleurs de la pression migratoire à laquelle les autorités suisses (et européennes) sont confrontées, on ne peut leur reprocher d'appliquer une politique trop restrictive en matière d'entrée sur le territoire Schengen.</w:t>
      </w:r>
    </w:p>
    <w:p>
      <w:r>
        <w:rPr>
          <w:b/>
        </w:rPr>
        <w:t>E. 6.5</w:t>
      </w:r>
    </w:p>
    <w:p>
      <w:r>
        <w:t>Au vu de ce qui précède, le Tribunal considère, à ce jour, que le retour de l'intéressée dans sa patrie au terme de l'autorisation requise n'est pas suffisamment assuré et que c'est donc de manière fondée que l'autorité inférieure a écarté l'opposition en cause et confirmé le refus de lui octroyer une autorisation d'entrée dans l'Espace Schengen.</w:t>
      </w:r>
    </w:p>
    <w:p>
      <w:r>
        <w:rPr>
          <w:b/>
        </w:rPr>
        <w:t>E. 7</w:t>
      </w:r>
    </w:p>
    <w:p>
      <w:r>
        <w:t>Au demeurant, le Tribunal constate que le dossier ne laisse pas apparaître de motifs susceptibles de justifier la délivrance en faveur de l'invitée d'un visa à validité territoriale limitée (cf. consid. 5.4 supra).</w:t>
      </w:r>
    </w:p>
    <w:p>
      <w:r>
        <w:rPr>
          <w:b/>
        </w:rPr>
        <w:t>E. 8</w:t>
      </w:r>
    </w:p>
    <w:p>
      <w:r>
        <w:t>Il s'ensuit que, par sa décision du 26 février 2018, l'autorité intimée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Le recourant n'a par ailleurs pas droit à des dépens (art. 64 al. 1 PA a contrario).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