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F-1645/2016 vom 12. Januar 2017</w:t>
      </w:r>
    </w:p>
    <w:p>
      <w:r>
        <w:t>Bundesverwaltungsgericht, 2017-01-12, DE</w:t>
      </w:r>
    </w:p>
    <w:p>
      <w:r>
        <w:rPr>
          <w:b/>
        </w:rPr>
        <w:t xml:space="preserve">Quelle: </w:t>
      </w:r>
      <w:r>
        <w:t>https://mcp.opencaselaw.ch/entscheid/bvger_F-1645_2016</w:t>
      </w:r>
    </w:p>
    <w:p>
      <w:r>
        <w:t>FR: TAF F-1645/2016 du 12 janvier 2017</w:t>
      </w:r>
    </w:p>
    <w:p>
      <w:r>
        <w:t>IT: TAF F-1645/2016 del 12 gennaio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frist- und formgerecht eingereichte Beschwerde ist daher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ausländischen Personen, wenn die Wegweisung nach Art. 64d Abs. 2 Bst. a-c AuG sofort vollstreckt wird (Art. 67 Abs. 1 Bst. a AuG) oder die betroffene Person der Ausreiseverpflichtung innert Frist nicht nachgekommen ist (Art. 67 Abs. 1 Bst. b AuG). Es kann sodann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3.2</w:t>
      </w:r>
    </w:p>
    <w:p>
      <w:r>
        <w:t>Das Einreiseverbot dient der Abwendung künftiger Störungen der öffentlichen Sicherheit und Ordnung (vgl. Botschaft vom 8. März 2002 zum Bundesgesetz über die Ausländerinnen und Ausländer, BBl 2002 3709, S. 3813; nachfolgend: Botschaft). Soweit Art. 67 Abs. 2 Bst. a AuG mit dem Verstoss gegen die öffentliche Sicherheit und Ordnung unmittelbar an vergangenes Verhalten der Betroffenen anknüpft, steht die Gefahrenabwehr durch Generalprävention im Sinne der Einwirkung auf andere Rechtsgenossen im Vordergrund (zur Generalprävention im Ausländerrecht vgl. Urteil des BGer 2C_282/2012 vom 31. Juli 2012 E. 2.5 m.H.). Die Spezialprävention kommt zum Tragen, soweit Art. 67 Abs. 2 Bst. a AuG als alternativen Fernhaltegrund die Gefährdung der öffentlichen Sicherheit und Ordnung durch die Betroffene nennt. Ob eine solche Gefährdung vorliegt, ist gestützt auf die gesamten Umstände des Einzelfalles im Sinne einer Prognose zu beurteilen, da sie sich in erster Linie auf das vergangene Verhalten der Betroffenen abstützt (vgl. Urteil des BVGer C-2894/2015 vom 2. Februar 2016 E. 4 m.H.).</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S. 3813). Ein Verstoss gegen die öffentliche Sicherheit und Ordnung liegt insbesondere vor, wenn gesetzliche Vorschriften missachtet werden (Art. 80 Abs. 1 Bst. a der Verordnung vom 24. Oktober 2007 über Zulassung, Aufenthalt und Erwerbstätigkeit [VZAE; SR 142.201]). Eine Gefährdung liegt vor, wenn konkrete Anhaltspunkte dafür bestehen, dass der Aufenthalt der betroffenen Person in der Schweiz mit erheblicher Wahrscheinlichkeit zu einem Verstoss gegen die öffentliche Sicherheit und Ordnung führt (Art. 80 Abs. 2 VZAE).</w:t>
      </w:r>
    </w:p>
    <w:p>
      <w:r>
        <w:rPr>
          <w:b/>
        </w:rPr>
        <w:t>E. 3.4</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Urteil des BVGer C-6661/2014 vom 22. Oktober 2015 E. 6.4).</w:t>
      </w:r>
    </w:p>
    <w:p>
      <w:r>
        <w:rPr>
          <w:b/>
        </w:rPr>
        <w:t>E. 3.5</w:t>
      </w:r>
    </w:p>
    <w:p>
      <w:r>
        <w:t>Wird gegen eine Person, die nicht das Bürgerrecht eines EU-Mitgliedstaates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 Damit wird der Betroffenen grundsätzlich die Einreise in das Hoheitsgebiet aller Schengen-Staaten verboten (vgl. Art. 6 Abs. 1 sowie Art. 14 Abs. 1 der Verordnung [EG] Nr. 2016/399 des Europäischen Parlaments und des Rates vom 9. März 2016 [kodifizierter Text] über einen Gemeinschaftskodex für das Überschreiten der Grenze durch Personen [Schengener Grenzkodex, SGK, Abl. L 77/1 vom 23. März 2016]). Die Mitgliedstaaten können der Betroffenen aus wichtigen Gründen oder aufgrund internationaler Verpflichtungen die Einreise gestatten bzw. ihr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4</w:t>
      </w:r>
    </w:p>
    <w:p>
      <w:r>
        <w:t>Die Vorinstanz stützt sich in ihrer Verfügung auf Art. 67 AuG und macht geltend, die Beschwerdeführerin sei während mehrerer Tage in der Schweiz erwerbstätig gewesen, ohne im Besitz einer erforderlichen ausländerrechtlichen Bewilligung zu sein. Gemäss ständiger Praxis und Rechtsprechung liege damit ein Verstoss gegen die öffentliche Sicherheit und Ordnung vor.</w:t>
      </w:r>
    </w:p>
    <w:p>
      <w:r>
        <w:rPr>
          <w:b/>
        </w:rPr>
        <w:t>E. 4.1</w:t>
      </w:r>
    </w:p>
    <w:p>
      <w:r>
        <w:t>Anlässlich der polizeilichen Einvernahme vom 13. Februar 2016 gab die Beschwerdeführerin unterschriftlich zu Protokoll, sie sei am 14. Dezember 2015 als Touristin in die Schweiz gekommen, um ihren Freund in A._______ zu besuchen. Auf die Frage, was ihr Freund arbeite, gab sie an, dass er ein eigenes Lokal habe, namentlich die Bar, in der sie angetroffen worden sei. Sie sei an diesem Abend zusammen mit ihrem Freund dort gewesen, um einen Kaffee zu trinken. Als die Polizei nach Mitternacht eingetroffen sei, habe sie geputzt. Sie habe ihrem Freund beim Reinigen der Bar helfen wollen. Sie sei nicht hierhergekommen um Geld zu verdienen, sondern habe lediglich ihrem Freund helfen wollen. Sie sei auch nicht dazu gezwungen worden. Weiter führte sie aus, dass sie dies schon fünf- oder sechsmal gemacht habe und sie kein Geld dafür erhalte. Ihr Freund kaufe ihr Zigaretten oder Kleider. Abschliessend gab sie zu, einen Fehler gemacht zu haben, und dass sie nicht hätte putzen sollen. Somit gilt der rechtserhebliche Sachverhalt als erstellt und es besteht keine Veranlassung den Patentinhaber (Sohn des Freundes der Beschwerdeführerin) als Zeugen zu befragen (zu dieser antizipierten Beweiswürdigung vgl. BGE 141 I 60 E. 3.3).</w:t>
      </w:r>
    </w:p>
    <w:p>
      <w:r>
        <w:rPr>
          <w:b/>
        </w:rPr>
        <w:t>E. 4.2</w:t>
      </w:r>
    </w:p>
    <w:p>
      <w:r>
        <w:t>Zunächst gilt es festzuhalten, dass nicht entscheidend ist, ob der Beschwerdeführerin von ihrem Freund ein Entgelt ausgerichtet wurde oder nicht. Es ist ebenso wenig von Belang, ob Kost und Logis bzw. Zigaretten und Kleider eine alternative Art der Entlöhnung darstellen oder ob die Beschwerdeführerin über ausreichend finanzielle Mittel verfügt und in ihrem Heimatland einer Erwerbstätigkeit nachgeht (Friseurin). Als Erwerbstätigkeit gilt jede üblicherweise gegen Entgelt ausgeübte unselbständige oder selbständige Tätigkeit, selbst wenn sie - wie im vorliegenden Fall vorgebracht - unentgeltlich erfolgte (Art. 11 Abs. 2 AuG). Eine Tätigkeit gilt dann als üblicherweise auf Entgelt gerichtet, wenn sie ihrer Art und ihrem Umfang nach auf dem schweizerischen Arbeits- und Dienstleistungsmarkt angeboten wird (vgl. Egli/Meyer, in: Caroni/Gächter/Thurnherr, Handkommentar zum AuG, 2010, Art. 11 Rz. 6, wo wohl im gleichen Sinne davon die Rede ist, dass die Aufnahme der Tätigkeit der ausländischen Person Einfluss auf den Schweizer Arbeitsmarkt haben muss). Ohne Belang für die Qualifikation der (unselbständigen) Erwerbstätigkeit ist, ob die Beschäftigung nur stunden- oder tageweise oder vorübergehend ausgeübt wird (Art. 1a Abs. 1 VZAE). Diese weite Fassung des Erwerbsbegriffs hat zum Ziel, die Möglichkeit zur Umgehung der Zulassungsbestimmungen einzuschränken (vgl. Botschaft, a.a.O., S. 3776). Der Begriff ist seiner ratio legis entsprechend weit auszulegen (vgl. Egli/Meyer, a.a.O., Art. 11 Rz. 6).</w:t>
      </w:r>
    </w:p>
    <w:p>
      <w:r>
        <w:rPr>
          <w:b/>
        </w:rPr>
        <w:t>E. 4.3</w:t>
      </w:r>
    </w:p>
    <w:p>
      <w:r>
        <w:t>Unbestreitbar handelt es sich somit bei der Reinigung einer Bar um eine Tätigkeit, welche üblicherweise gegen Entgelt verrichtet wird. Die Beschwerdeführerin hat zudem zugegeben, dies fünf- oder sechsmal gemacht zu haben.</w:t>
      </w:r>
    </w:p>
    <w:p>
      <w:r>
        <w:rPr>
          <w:b/>
        </w:rPr>
        <w:t>E. 4.4</w:t>
      </w:r>
    </w:p>
    <w:p>
      <w:r>
        <w:t>Durch die Erwerbstätigkeit ohne Bewilligung hat die Beschwerdeführerin ohne Zweifel den Fernhaltegrund nach Art. 67 Abs. 2 Bst. a AuG gesetzt. Zudem wurde sie mit Verfügung des Migrationsamts des Kantons St. Gallen vom 13. Februar 2016 aus der Schweiz weggewiesen, wobei die Wegweisung sofort vollstreckt wurde (vgl. Art. 64d Abs. 2 Bst. a AuG). Damit ist vorliegend auch der Fernhaltegrund nach Art. 67 Abs. 1 Bst. a AuG erfüllt.</w:t>
      </w:r>
    </w:p>
    <w:p>
      <w:r>
        <w:rPr>
          <w:b/>
        </w:rPr>
        <w:t>E. 4.5</w:t>
      </w:r>
    </w:p>
    <w:p>
      <w:r>
        <w:t>Zusammenfassend ist festzuhalten, dass somit hinreichende Gründe für die Verhängung einer Fernhaltemassnahme vorliegen.</w:t>
      </w:r>
    </w:p>
    <w:p>
      <w:r>
        <w:rPr>
          <w:b/>
        </w:rPr>
        <w:t>E. 5</w:t>
      </w:r>
    </w:p>
    <w:p>
      <w:r>
        <w:t>Zum Vorwurf aus der Beschwerdeschrift hinsichtlich der rechtswidrigen Einreise und des rechtswidrigen Aufenthalts ist folgendes festzuhalten:</w:t>
      </w:r>
    </w:p>
    <w:p>
      <w:r>
        <w:rPr>
          <w:b/>
        </w:rPr>
        <w:t>E. 5.1</w:t>
      </w:r>
    </w:p>
    <w:p>
      <w:r>
        <w:t>Staatsangehörige von Bosnien und Herzegowina, die über einen biometrischen Reisepass verfügen, sind für Kurzaufenthalte von 90 Tagen innerhalb von 180 Tagen von der Visumspflicht befreit (Art. 4 Abs. 3 der Verordnung vom 22. Oktober 2008 über die Einreise und die Visumerteilung [VEV; SR 142.204] i.V.m. Art. 1 Abs. 2 der Verordnung [EG] Nr. 539/2001 des Rates vom 15. März 2001 und deren Anhang II, Abl. L 81/1 vom 21. März 2001, geändert durch Art. 1 der Verordnung [EU] Nr. 1091/2010 vom 24. November 2010, Abl. L 329/1 vom 14. Dezember 2010 ; vgl. auch Anhang 1, Liste 1 der Weisungen Visa des SEM). Die Visumsbefreiung gilt jedoch nur für Aufenthalte ohne Erwerbstätigkeit. Will die betreffende Person einer Erwerbstätigkeit nachgehen, so benötigt sie ein Visum (vgl. Art. 4 Abs. 4 Bst. a VEV).</w:t>
      </w:r>
    </w:p>
    <w:p>
      <w:r>
        <w:rPr>
          <w:b/>
        </w:rPr>
        <w:t>E. 5.2</w:t>
      </w:r>
    </w:p>
    <w:p>
      <w:r>
        <w:t>Die Beschwerdeführerin ist legal in die Schweiz eingereist (am 14. Dezember 2015 beim Grenzübergang Chiasso). Ob sie bereits mit der Absicht einer Erwerbstätigkeit im oben ausgeführten Sinne nachzugehen einreiste, kann hier ausser Acht gelassen werden. Tatsache ist, dass sie in der Nacht vom 12. auf den 13. Februar 2016 (wie auch schon fünf- oder sechsmal früher) einer Erwerbstätigkeit im Sinne von Art. 11 Abs. 2 AuG nachging (vgl. E. 4). Über das hierfür nach Art. 4 Abs. 4 Bst. a VEV benötigte Visum verfügte sie jedoch nicht, womit sich die Einreise der Beschwerdeführerin im Nachhinein als rechtswidrig erweist (Art. 5 Abs. 1 AuG).</w:t>
      </w:r>
    </w:p>
    <w:p>
      <w:r>
        <w:rPr>
          <w:b/>
        </w:rPr>
        <w:t>E. 5.3</w:t>
      </w:r>
    </w:p>
    <w:p>
      <w:r>
        <w:t>Die Rechtswidrigkeit des Aufenthalts der Beschwerdeführerin in der Schweiz ergibt sich sodann auch unmittelbar aus der Rechtswidrigkeit ihrer Einreise (vgl. Art. 10 Abs. 2 VZAE). Sie lässt sich daneben ebenfalls aus dem Umstand ableiten, dass die Beschwerdeführerin wegen Aufnahme einer Erwerbstätigkeit der Bewilligungspflicht unterlag (Art. 11 Abs. 1 AuG), jedoch keine Bewilligung einholte.</w:t>
      </w:r>
    </w:p>
    <w:p>
      <w:r>
        <w:rPr>
          <w:b/>
        </w:rPr>
        <w:t>E. 5.4</w:t>
      </w:r>
    </w:p>
    <w:p>
      <w:r>
        <w:t>Daraus ergibt sich, dass die Beschwerdeführerin auch mit diesem Verhalten einen Fernhaltegrund nach Art. 67 Abs. 2 Bst. a AuG gesetzt hat.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der Verfügungsbelasteten bilden dabei den Ausgangspunkt der Überlegungen (vgl. statt vieler Häfelin/Müller/Uhlmann, Allgemeines Verwaltungsrecht, 7. Aufl., 2016, Rz. 555 ff.).</w:t>
      </w:r>
    </w:p>
    <w:p>
      <w:r>
        <w:rPr>
          <w:b/>
        </w:rPr>
        <w:t>E. 6.2</w:t>
      </w:r>
    </w:p>
    <w:p>
      <w:r>
        <w:t>Aufgrund obgenannter Sachverhaltsfeststellung gilt es als erwiesen, dass die Beschwerdeführerin eine nicht bewilligte Erwerbstätigkeit ausübte und deshalb aus der Schweiz weggewiesen wurde. Solches Fehlverhalten wiegt objektiv gesehen nicht leicht. Aus dem von ihr manifestierten Verhalten ist somit auf eine Gefährdung der öffentlichen Sicherheit und Ordnung zu schliessen, d.h. das Einreiseverbot hat auch spezialpräventiven Charakter, um einer weiteren illegalen Erwerbstätigkeit und damit einer weiteren Störung der öffentlichen Sicherheit und Ordnung entgegenzuwirken (vgl. Urteil des BVGer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Massnahmepraxis zu schützen, ist als gewichtig zu betrachten (zur Zulässigkeit der Berücksichtigung generalpräventiver Aspekte vgl. Urteil des BGer 2C_516/2014 vom 24. März 2015 E. 4.3.2 m.H.). Es besteht somit ein gewichtiges öffentliches Interesse an der Fernhaltung der Beschwerdeführerin.</w:t>
      </w:r>
    </w:p>
    <w:p>
      <w:r>
        <w:rPr>
          <w:b/>
        </w:rPr>
        <w:t>E. 6.3</w:t>
      </w:r>
    </w:p>
    <w:p>
      <w:r>
        <w:t>Den öffentlichen Interessen sind die privaten Interessen der Beschwerdeführerin gegenüberzustellen. Hierzu macht die Beschwerdeführerin lediglich geltend, dass sie in die Schweiz gekommen sei, um ihren künftigen Ehemann zu besuchen. Aus den Akten gehen jedoch keine weiteren Anzeichen hervor, die auf eine baldige Eheschliessung hinweisen. Kommt hinzu, dass kein Anspruch auf Eheschliessung an einem bestimmten Ort besteht (vgl. dazu Urteil des BGer 2C_756/2009 vom 15. Dezember 2009 E. 2.3.2 m.H.). Wesentlich ist, dass die Ehe überhaupt geschlossen werden kann. Es bleibt darauf hinzuweisen, dass das Einreiseverbot einen Eheschluss in der Schweiz nicht zum vornherein verunmöglicht. In diesem Zusammenhang kann auf die in Art. 67 Abs. 5 AuG vorgesehene Möglichkeit verwiesen werden, Fernhaltemassnahmen aus humanitären oder anderen wichtigen Gründen ausnahmsweise zeitweilig auszusetzen.</w:t>
      </w:r>
    </w:p>
    <w:p>
      <w:r>
        <w:rPr>
          <w:b/>
        </w:rPr>
        <w:t>E. 6.4</w:t>
      </w:r>
    </w:p>
    <w:p>
      <w:r>
        <w:t>Somit kann festgehalten werden, dass die privaten Interessen weder eine Aufhebung noch eine Verkürzung des Einreiseverbots zu rechtfertigen vermögen. In subjektiver Hinsicht gilt zwar zu berücksichtigen, dass das illegale Verhalten nicht lange andauerte. Andererseits wurde es nur durch eine polizeiliche Intervention unterbunden. Kommt hinzu, dass die Beschwerdeführerin in der polizeilichen Einvernahme nicht bestritten hat, schon ein paar Mal in der Bar geputzt zu haben und sie jetzt verstehe, dass sie dies nicht hätte tun sollen. Der Beschwerdeführerin sind überdies Besuchsaufenthalte - wie in E. 6.3 soeben ausgeführt - bei ihr nahestehenden Personen nicht schlichtweg untersagt; das SEM kann die Fernhaltemassnahme auf begründetes Gesuch hin aus humanitären oder anderen wichtigen Gründen befristet suspendieren (vgl. Art. 67 Abs. 5 AuG; BVGE 2013/4 E. 7.4.3 m.H.). Im Übrigen kann sie den Kontakt zu ihrem Freund vorübergehend auch auf andere Weise als durch Besuche in der Schweiz pflegen (z.B. mittels moderner Kommunikationsmittel wie Skype, Facetime, WhatsApp oder Besuche ihres Freundes im Heimatland).</w:t>
      </w:r>
    </w:p>
    <w:p>
      <w:r>
        <w:rPr>
          <w:b/>
        </w:rPr>
        <w:t>E. 6.5</w:t>
      </w:r>
    </w:p>
    <w:p>
      <w:r>
        <w:t>Eine Abwägung der gegenläufigen öffentlichen und privaten Interessen führt somit zum Ergebnis, dass das auf zwei Jahre befristete Einreiseverbot sowohl vom Grundsatz her als auch in Bezug auf seine Dauer eine verhältnismässige und angemessene Massnahme zum Schutz der öffentlichen Sicherheit und Ordnung darstellt. Nicht zu beanstanden ist, dass der Beschwerdeführerin die Einreise in das Hoheitsgebiet sämtlicher Schengen-Staaten verboten wurde (vgl. Art. 21 i.V.m. Art. 24 SIS-II-VO sowie BVGE 2014/20 E. 8.5 m.H.). Es bleibt den Schengen-Staaten unbenommen, der Beschwerdeführerin bei Vorliegen besonderer Gründe die Einreise ins eigene Hoheitsgebiet zu gestatten (vgl. E. 3.5).</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der Beschwerdeführerin aufzuerlegen (vgl. Art. 63 Abs. 1 VwVG i.V.m. Art. 1 ff. des Reglements vom 21. Februar 2008 über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