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F-1644/2024 vom 21. März 2024</w:t>
      </w:r>
    </w:p>
    <w:p>
      <w:r>
        <w:t>Bundesverwaltungsgericht, 2024-03-21, FR</w:t>
      </w:r>
    </w:p>
    <w:p>
      <w:r>
        <w:rPr>
          <w:b/>
        </w:rPr>
        <w:t xml:space="preserve">Quelle: </w:t>
      </w:r>
      <w:r>
        <w:t>https://mcp.opencaselaw.ch/entscheid/bvger_F-1644_2024</w:t>
      </w:r>
    </w:p>
    <w:p>
      <w:r>
        <w:t>FR: TAF F-1644/2024 du 21 mars 2024</w:t>
      </w:r>
    </w:p>
    <w:p>
      <w:r>
        <w:t>IT: TAF F-1644/2024 del 21 marzo 2024</w:t>
      </w:r>
    </w:p>
    <w:p>
      <w:pPr>
        <w:pStyle w:val="Heading2"/>
      </w:pPr>
      <w:r>
        <w:t>Regeste</w:t>
      </w:r>
    </w:p>
    <w:p>
      <w:r>
        <w:t>Asile (non-entrée en matière) et renvoi (procédure Dublin - art. 31a al. 1 let. b LAsi)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Il s'ensuit que le transfert du recourant en Suède n'est pas contraire aux obligations de la Suisse relevant du droit international public et que le SEM a procédé à un examen correct des faits allégués par l'intéressé susceptibles de constituer des « raisons humanitaires » au sens de l'art. 29a al. 3 OA 1. La Suède demeure dès lors l'Etat responsable de l'examen de la demande d'asile du recourant au sens du RD III. C'est ainsi à juste titre que le SEM n'est pas entré en matière sur celle-ci, en application de l'art. 31a al. 1 let. b LAsi, et a prononcé le transfert de l'intéressé vers la Suède, en application de l'art. 44 LAsi, aucune exception à la règle générale du renvoi n'étant réalisée (art. 32 OA 1). Partant, le recours doit être rejeté.</w:t>
      </w:r>
    </w:p>
    <w:p>
      <w:r>
        <w:rPr>
          <w:b/>
        </w:rPr>
        <w:t>E. 6</w:t>
      </w:r>
    </w:p>
    <w:p>
      <w:r>
        <w:t>Les conclusions du recours étant d'emblée vouées à l'échec, la requête d'assistance judiciaire totale est rejetée. Il y a donc lieu de mettre les frais de procédure à la charge du recourant conformément à l'art. 63 al. 1 PA et art. 1 à 3 FITAF (RS 173.320.2). (dispositif page suivante.)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