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F-1619/2018 vom 16. Mai 2018</w:t>
      </w:r>
    </w:p>
    <w:p>
      <w:r>
        <w:t>Bundesverwaltungsgericht, 2018-05-16, IT</w:t>
      </w:r>
    </w:p>
    <w:p>
      <w:r>
        <w:rPr>
          <w:b/>
        </w:rPr>
        <w:t xml:space="preserve">Quelle: </w:t>
      </w:r>
      <w:r>
        <w:t>https://mcp.opencaselaw.ch/entscheid/bvger_F-1619_2018</w:t>
      </w:r>
    </w:p>
    <w:p>
      <w:r>
        <w:t>FR: TAF F-1619/2018 du 16 mai 2018</w:t>
      </w:r>
    </w:p>
    <w:p>
      <w:r>
        <w:t>IT: TAF F-1619/2018 del 16 maggio 2018</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statuisce quale autorità di grado inferiore al Tribunale federale (art. 1 cpv. 2 LTAF in relazione con l'art. 11 par. 1 e 3 ALC e l'art. 83 lett. c cifra 1 LTF; cfr. inoltre la sentenza del TF 2C_270/2015 del 6 agosto 2015 consid. 1).</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(cfr. quanto esposto in narrativa alla lett. U.),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gravame (art. 62 cpv. 4 PA). Rilevante è in primo luogo la situazione di fatto al momento del giudizio (DTAF 2014/1 consid. 2 e giurisprudenza ivi citata).</w:t>
      </w:r>
    </w:p>
    <w:p>
      <w:r>
        <w:rPr>
          <w:b/>
        </w:rPr>
        <w:t>E. 3.1</w:t>
      </w:r>
    </w:p>
    <w:p>
      <w:r>
        <w:t>Conformemente all'art. 67 cpv. 1 LStr (RS 142.20),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dell'ordinanza del 24 ottobre 2007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in: Spescha et al. [ed.], Migrationsrecht, 4a ed. 2015, ad art. 67 LStr, n. marg. 3, pag. 270).</w:t>
      </w:r>
    </w:p>
    <w:p>
      <w:r>
        <w:rPr>
          <w:b/>
        </w:rPr>
        <w:t>E. 4.1</w:t>
      </w:r>
    </w:p>
    <w:p>
      <w:r>
        <w:t>Per coloro i quali vi si possono lecitamente richiamare, e nella misura in cui contenga disposizioni derogatorie più favorevoli, determinante è inoltre l'ALC.</w:t>
      </w:r>
    </w:p>
    <w:p>
      <w:r>
        <w:rPr>
          <w:b/>
        </w:rPr>
        <w:t>E. 4.2</w:t>
      </w:r>
    </w:p>
    <w:p>
      <w:r>
        <w:t>In base all'ALC, le parti contraenti ammettono nel rispettivo territorio i cittadini dell'altra parte contraente ed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4.3</w:t>
      </w:r>
    </w:p>
    <w:p>
      <w:r>
        <w:t>Secondo la giurisprudenza, che si orienta alla direttiva 64/221/CEE del 25 febbraio 1964 del Consiglio per il coordinamento dei provvedimenti speciali riguardanti il trasferimento ed il soggiorno degli stranieri, giustificati da motivi di ordine pubblico, di pubblica sicurezza e di sanità pubblica (cfr. GU P 56 del 4 aprile 1964, pagg. 851-857) ed alla prassi della Corte di giustizia dell'Unione europea ad essa relativa (art. 5 cpv. 2 allegato I ALC), l'adozione di misure di allontanamento presuppone, al di là della turbativa insita in ogni violazione di legge, la sussistenza di una minaccia effettiva e sufficientemente grave per 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4.4</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originata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4.5</w:t>
      </w:r>
    </w:p>
    <w:p>
      <w:r>
        <w:t>Inoltre l'adozione di un provvedimento di 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134 II 25 consid. 4.3.2 e 130 II 493 consid. 3.3 e riferimenti ivi citati).</w:t>
      </w:r>
    </w:p>
    <w:p>
      <w:r>
        <w:rPr>
          <w:b/>
        </w:rPr>
        <w:t>E. 4.6</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w:t>
      </w:r>
    </w:p>
    <w:p>
      <w:r>
        <w:rPr>
          <w:b/>
        </w:rPr>
        <w:t>E. 4.7</w:t>
      </w:r>
    </w:p>
    <w:p>
      <w:r>
        <w:t>Inoltre, come nel caso di qualsiasi altro cittadino straniero, l'esame deve essere effettuato tenendo presente le garanzie derivanti dalla CEDU così come il principio di proporzionalità (cfr. DTF 131 II 352 consid. 3.3 e numerosi rinvii).</w:t>
      </w:r>
    </w:p>
    <w:p>
      <w:r>
        <w:rPr>
          <w:b/>
        </w:rPr>
        <w:t>E. 5.1</w:t>
      </w:r>
    </w:p>
    <w:p>
      <w:r>
        <w:t>Il ricorrente è in casu di nazionalità italiana,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5.2</w:t>
      </w:r>
    </w:p>
    <w:p>
      <w:r>
        <w:t>L'art. 67 cpv. 3 2a frase LStr permette alla SEM di pronunciare un divieto d'entrata per una durata maggiore a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del Parlamento e del Consiglio europei del 16 dicembre 2008 recante norme e procedure comuni applicabili negli Stati membri al rimpatrio di cittadini di paesi terzi il cui soggiorno è irregolare (cfr. GU L 348/98 del 24 dicembre 2008, pagg. 98-107)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5.3</w:t>
      </w:r>
    </w:p>
    <w:p>
      <w:r>
        <w:t>Poiché la LStr non opera alcuna distinzione tra cittadini di Stati ALC e di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esteri (membri ALC o meno).</w:t>
      </w:r>
    </w:p>
    <w:p>
      <w:r>
        <w:rPr>
          <w:b/>
        </w:rPr>
        <w:t>E. 5.4</w:t>
      </w:r>
    </w:p>
    <w:p>
      <w:r>
        <w:t>A tal proposito la giurisprudenza ha stabilito che la nozione di «pericolo grave» richiede un grado di gravità maggiore rispetto al «semplice» pericolo o minaccia per l'ordine e la sicurezza pubblici (art. 67 cpv. 2 lett. a LStr), ma anche maggiore rispetto alla nozione di «pericolo di una certa gravità», necessaria per pronunciare un divieto d'entrata per un cittadino di uno Stato ALC. Operando un raffronto con la nozione di «pericolo di una certa gravità» dell'art. 5 allegato 1 ALC (per una casistica cfr. le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op. cit., ad art. 67 LStr, n. marg. 5, pag. 271; Andrea Binder Oser, in: Caroni/Gächter/Thurnherr [ed.], Bundesgesetz über die Ausländerinnen und Ausländer [AuG], 2010, ad art. 67 LStr, n. marg. 24, pag. 689). Essa può infatti fondarsi sulla natura del bene giuridico in pericolo (ad esempio: minaccia grave alla vita, all'integrità della persona, all'integrità sessuale o alla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DTF 139 II 121 consid. 6).</w:t>
      </w:r>
    </w:p>
    <w:p>
      <w:r>
        <w:rPr>
          <w:b/>
        </w:rPr>
        <w:t>E. 6</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(cfr.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Nella fattispecie in disamina, la SEM ha pronunciato nei confronti di A._______ un divieto d'entrata in Svizzera e nel Liechtenstein della durata di dieci anni, valido fino al 31 gennaio 2026, ritenendo che il ricorrente abbia gravemente violato e minacciato la sicurezza e l'ordine pubblici, interessando le autorità penali italiane, che il 20 luglio 2011 lo hanno condannato a tre anni e tre mesi di pena privativa della libertà per i reati di associazione per delinquere in concorso e ripetuta truffa in concorso. In occasione della presa di posizione del 9 gennaio 2017 la SEM ha altresì menzionato le gravi lesioni corporali commesse dall'interessato nel 2006, nonché l'inchiesta concernente un'organizzazione mafiosa che lo ha visto coinvolto.</w:t>
      </w:r>
    </w:p>
    <w:p>
      <w:r>
        <w:rPr>
          <w:b/>
        </w:rPr>
        <w:t>E. 7.2</w:t>
      </w:r>
    </w:p>
    <w:p>
      <w:r>
        <w:t>Dalle tavole processuali emerge in effetti che nel periodo compreso tra il febbraio 2006 ed il 19 maggio 2009 il ricorrente avrebbe fatto parte di un'organizzazione criminale a E._______, mentre è stato appurato che tra il gennaio 2008 ed il marzo 2009 ha commesso undici truffe a danni di istituti di credito (cfr. estratto del casellario giudiziale italiano del 23 settembre 2015, incarto Simic, pagg. 1-2). Agli atti figura inoltre la decisione, prodotta dallo stesso ricorrente in data 21 ottobre 2016, del Tribunale di E._______ del 13 ottobre 2016, nella quale viene menzionato un episodio avvenuto il 10 marzo 2006 allorquando A._______ avrebbe inferto un trauma cranico e sfregiato un altro automobilista in occasione di un diverbio legato a questioni di viabilità. Detto comportamento era stato sanzionato in primo grado con una pena detentiva di sei anni e tre mesi, tuttavia non vi sono indicazioni in merito agli sviluppi di questo procedimento penale, non figurando questa condanna tra i precedenti iscritti a casellario. La medesima decisione del 13 ottobre 2016, oltre a decretare la fine delle misure di controllo sulla persona del ricorrente, reca il coinvolgimento di quest'ultimo in qualità di indagato in un procedimento avente per oggetto un'organizzazione malavitosa di stampo mafioso. Detta procedura era stata archiviata senza alcuna condanna dell'interessato.</w:t>
      </w:r>
    </w:p>
    <w:p>
      <w:r>
        <w:rPr>
          <w:b/>
        </w:rPr>
        <w:t>E. 7.3</w:t>
      </w:r>
    </w:p>
    <w:p>
      <w:r>
        <w:t>In merito a queste vicissitudini il Tribunale considera che i comportamenti che hanno condotto alla condanna dell'interessato pronunciata il 20 luglio 2011, in ragione segnatamente dell'accertata appartenenza ad un'associazione per delinquere e dell'elevato numero di truffe commesse, giustificano una deroga al principio della libera circolazione delle persone sancito dall'ALC e portare all'emissione di un divieto d'entrata, poiché costituendo indubbiamente una violazione e mettendo in pericolo l'ordine e la sicurezza pubblici, adempiono ai requisiti dell'art. 67 cpv. 2 lett. a LStr. Sebbene non siano conosciute le finalità con cui agiva l'organizzazione a cui A._______ aveva aderito, e sebbene i reati di truffa non comportassero la messa in pericolo di beni giuridici particolarmente sensibili come la vita o la sanità pubblica, occorre prendere in considerazione che l'interessato avrebbe altresì commesso atti di natura violenta, procurando lesioni gravi ad una terza persona per futili motivi. A questo proposito occorre considerare che l'assenza di menzioni dell'episodio nel casellario giudiziale italiano (anche se non è da escludere che l'iscrizione del 19 maggio 2006 sia ad esso riconducibile) non è decisiva, in quanto i fatti sono comunque stati appurati in occasione della citata condanna di primo grado a sei anni e tre mesi di reclusione e sono stati ritenuti come acquisiti in occasione della decisione del Tribunale di E._______ del 13 ottobre 2016. Inoltre la condanna inflitta il 20 luglio 2011 è il risultato di un patteggiamento, che secondo il diritto penale italiano implica uno sconto di pena rispetto alla procedura ordinaria. Di transenna occorre anche precisare che, contrariamente a quanto sostenuto da A._______, la SEM è venuta a conoscenza dei trascorsi penali del ricorrente solamente nel 2015 (cfr. incarto Simic, pagg. 1-3), essa ha pertanto emanato la decisione impugnata in tempi ragionevoli.</w:t>
      </w:r>
    </w:p>
    <w:p>
      <w:r>
        <w:rPr>
          <w:b/>
        </w:rPr>
        <w:t>E. 8.1</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w:t>
      </w:r>
    </w:p>
    <w:p>
      <w:r>
        <w:rPr>
          <w:b/>
        </w:rPr>
        <w:t>E. 8.2</w:t>
      </w:r>
    </w:p>
    <w:p>
      <w:r>
        <w:t>Il Tribunale ritiene che a questo quesito si debba rispondere affermativamente. Vero è che non risulta che A._______ si sia prodigato in atti delittuosi dopo la condanna pronunciata il 20 luglio 2011, ed è altrettanto pacifico che i reati per cui egli è stato condannato risalgono al periodo compreso tra il 2006 ed il 2009, nondimeno in considerazione dell'elevata energia criminosa dimostrata dal ricorrente in questi frangenti, la minaccia per l'ordine e la sicurezza pubblici rappresentata dall'interessato appare come attuale.</w:t>
      </w:r>
    </w:p>
    <w:p>
      <w:r>
        <w:rPr>
          <w:b/>
        </w:rPr>
        <w:t>E. 8.3</w:t>
      </w:r>
    </w:p>
    <w:p>
      <w:r>
        <w:t>Va di transenna precisato che, contrariamente a quanto sostenuto nel ricorso, la domanda di rilascio di un permesso per frontaliere depositata dall'interessato all'indirizzo delle autorità del Canton Grigioni non impedisce la pronuncia di una misura di allontanamento dal territorio elvetico. La situazione avrebbe potuto essere diversa qualora un tale permesso fosse già stato rilasciato (cfr. DTAF 2013/35 consid. 4.2).</w:t>
      </w:r>
    </w:p>
    <w:p>
      <w:r>
        <w:rPr>
          <w:b/>
        </w:rPr>
        <w:t>E. 9.1</w:t>
      </w:r>
    </w:p>
    <w:p>
      <w:r>
        <w:t>Il divieto d'entrata in Svizzera e nel Liechtenstein è quindi confermato nel suo principio. A fronte di quanto esposto resta ora da stabilire se la durata di dieci anni della misura di allontanamento adottata dalla SEM nei confronti di A._______ sia conforme al principio di proporzionalità e, procedendo ad un apprezzamento degli interessi privati e pubblici in gioco, valutare se sia adeguata alle circostanze del caso di specie.</w:t>
      </w:r>
    </w:p>
    <w:p>
      <w:r>
        <w:rPr>
          <w:b/>
        </w:rPr>
        <w:t>E. 9.2</w:t>
      </w:r>
    </w:p>
    <w:p>
      <w:r>
        <w:t>Nella valutazione del criterio della minaccia grave giusta l'art. 67 cpv. 3 2a frase LStr affinché sia possibile prevedere un divieto d'entrata di durata superiore a cinque anni occorre tenere presente che sebbene i reati commessi da A._______ in Italia siano stati oggettivamente gravi, si pensi in particolare all'imputazione concernente l'associazione per delinquere, il ripetersi di atti di truffa, nonché le lesioni personali inflitte, dunque in principio atti a giustificare l'emanazione di un divieto d'entrata di lunga durata, va nondimeno considerato che essi sono stati perpetrati tra il febbraio 2006 ed il maggio 2009. Gli ultimi atti delittuosi risalgono pertanto ad nove anni orsono. Il lungo tempo trascorso ed il fatto che il ricorrente sembra essersi astenuto dal commettere nuove infrazioni dopo la condanna inflitta il 20 luglio 2011 inducono il Tribunale a ritenere che la minaccia per l'ordine e la sicurezza pubblici da esso costituita non raggiunga ad oggi un livello di gravità sufficiente affinché sia possibile emanare un allontanamento dal territorio elvetico di durata superiore a cinque anni.</w:t>
      </w:r>
    </w:p>
    <w:p>
      <w:r>
        <w:rPr>
          <w:b/>
        </w:rPr>
        <w:t>E. 9.3</w:t>
      </w:r>
    </w:p>
    <w:p>
      <w:r>
        <w:t>Alla luce delle considerazioni che precedono occorre dunque ritenere che l'autorità inferiore ha violato l'art. 67 cpv. 3 2a frase LStr reputando che l'interessato rappresenti un grave pericolo per l'ordine e la sicurezza pubblici ai sensi di questa norma e pronunciando un divieto d'entrata di lunga durata.</w:t>
      </w:r>
    </w:p>
    <w:p>
      <w:r>
        <w:rPr>
          <w:b/>
        </w:rPr>
        <w:t>E. 10.1</w:t>
      </w:r>
    </w:p>
    <w:p>
      <w:r>
        <w:t>Stabilito il limite temporale massimo della misura di allontanamento dal territorio elvetico adottata nei confronti di A._______, deve ora essere valutata la durata adeguata, in conformità con il principio di proporzionalità, procedendo ad un apprezzamento degli interessi privati e pubblici in gioco.</w:t>
      </w:r>
    </w:p>
    <w:p>
      <w:r>
        <w:rPr>
          <w:b/>
        </w:rPr>
        <w:t>E. 10.2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(cfr. DTF 140 I 168 consid. 4.2.1; 136 I 87 consid. 3.2; 136 IV 97 consid. 5.2.2).</w:t>
      </w:r>
    </w:p>
    <w:p>
      <w:r>
        <w:rPr>
          <w:b/>
        </w:rPr>
        <w:t>E. 10.3</w:t>
      </w:r>
    </w:p>
    <w:p>
      <w:r>
        <w:t>Quo all'interesse pubblico all'allontanamento del ricorrente dal territorio elvetico, si è già detto ai considerandi precedenti.</w:t>
      </w:r>
    </w:p>
    <w:p>
      <w:r>
        <w:rPr>
          <w:b/>
        </w:rPr>
        <w:t>E. 10.4</w:t>
      </w:r>
    </w:p>
    <w:p>
      <w:r>
        <w:t>In merito agli interessi privati, il ricorrente si è richiamato principalmente all'art. 8 CEDU, il quale garantisce il diritto al rispetto della vita privata e familiare, sottolineando che la decisione dell'autorità inferiore comporterebbe l'impossibilità di entrare in Svizzera e stabilirvisi insieme alla moglie ed ai figli minorenni, che già vivono in terra elvetica. A._______ ha inoltre motivato il suo interesse a potere entrare in questo paese per motivi professionali.</w:t>
      </w:r>
    </w:p>
    <w:p>
      <w:r>
        <w:rPr>
          <w:b/>
        </w:rPr>
        <w:t>E. 10.5</w:t>
      </w:r>
    </w:p>
    <w:p>
      <w:r>
        <w:t>L'art. 8 CEDU tutela la vita privata e familiare delle persone. Questa disposizione non garantisce tuttavia il diritto di entrare in un determinato Stato (cfr. in questo senso segnatamente DTF 140 I 145 consid. 3.1; 139 I 330 consid. 2.1 e riferimenti ivi citati). Affinché uno straniero possa prevalersene,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10.6</w:t>
      </w:r>
    </w:p>
    <w:p>
      <w:r>
        <w:t>La protezione del diritto al rispetto della vita privata e familiare conferita dalla norma convenzionale non ha però valenza assoluta, poiché ai sensi dell'art. 8 cpv. 2 CEDU un'ingerenza delle autorità rimane possibile quando è prevista dalla legge ed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10.7</w:t>
      </w:r>
    </w:p>
    <w:p>
      <w:r>
        <w:t>Nel caso in esame occorre osservare che effettivamente la moglie del ricorrente ed i figli minorenni risiedono in Svizzera dal luglio 2015, mentre A._______ vive a F._______, dove fino all'aprile 2016 era oggetto di una misura di obbligo di residenza (cfr. decisione del Tribunale di E._______ del 13 ottobre 2016, pag. 2, allegata alla presa di posizione del 21 ottobre 2016, incarto TAF, atto 11). L'insorgente ha dichiarato che fino all'emanazione della decisione di divieto d'entrata impugnata egli si recava regolarmente in Svizzera al fine di rendere visita ai familiari (oltre che per motivi professionali) con cui aveva l'intenzione di stabilirsi non appena possibile. Il Tribunale considera che la relazione tra A._______, da una parte, e la moglie ed i figli, dall'altra, non possa beneficiare della protezione conferita dall'art. 8 CEDU in quanto non sufficientemente stretta ed effettivamente vissuta. Come si è visto gli interessati non formano più una comunione domestica dal luglio 2015 allorquando i congiunti del ricorrente si sono trasferiti in Svizzera, pur sapendo che quest'ultimo era impossibilitato a seguirli. Inoltre sul piano economico non è chiaro se o in che misura A._______ contribuisca al mantenimento della famiglia.</w:t>
      </w:r>
    </w:p>
    <w:p>
      <w:r>
        <w:rPr>
          <w:b/>
        </w:rPr>
        <w:t>E. 10.8</w:t>
      </w:r>
    </w:p>
    <w:p>
      <w:r>
        <w:t>Nondimeno, nel quadro dell'analisi della proporzionalità del divieto d'entrata pronunciato nei confronti del ricorrente, occorre prendere in considerazione l'esistenza del legame tra A._______ ed i familiari residenti in Svizzera e del conseguente interesse privato a recarsi in questo paese per rendergli visita. A mente del Tribunale deve altresì essere tenuto conto del tempo trascorso dalla commissione dei reati per i quali è stata emanata la decisione contestata, come pure del fatto che le autorità ed i servizi sociali italiani - ad eccezione del Questore della regione in cui il ricorrente vive - hanno costatato un'evoluzione positiva nei comportamenti ed in generale nella situazione dell'insorgente (cfr. la precitata decisione del Tribunale di E._______ del 13 ottobre 2016). Valutati tutti questi elementi, emerge che una misura di allontanamento dal suolo elvetico della durata di quattro anni appare adeguata alla fattispecie, di conseguenza i suoi effetti devono essere limitati al 31 gennaio 2020.</w:t>
      </w:r>
    </w:p>
    <w:p>
      <w:r>
        <w:rPr>
          <w:b/>
        </w:rPr>
        <w:t>E. 11</w:t>
      </w:r>
    </w:p>
    <w:p>
      <w:r>
        <w:t>Da quanto esposto, discende che il ricorso deve essere parzialmente accolto, le spese giudiziarie e le ripetibili seguono la soccombenza, considerato tuttavia come ai sensi dell'art. 63 cpv. 2 PA nessuna spesa processuale è posta a carico dell'autorità inferiore.</w:t>
      </w:r>
    </w:p>
    <w:p>
      <w:r>
        <w:rPr>
          <w:b/>
        </w:rPr>
        <w:t>E. 12</w:t>
      </w:r>
    </w:p>
    <w:p>
      <w:r>
        <w:t>Ritenuto che l'insorgente è rappresentato in questa sede da un avvocato, si giustifica l'attribuzione di un'indennità a titolo di spese ripetibili (art. 64 PA in combinato disposto con gli art. 7 e segg. del regolamento del 21 febbraio 2008 sulle tasse e sulle spese ripetibili nelle cause dinanzi al Tribunale amministrativo federale [TS-TAF, RS 173.320.2]). La stessa, in assenza di una nota dettagliata, è fissata d'ufficio in fr. 1'000.-, tenuto conto del lavoro effettivamente svolto dal patrocinatore del ricorrente. L'indennità per ripetibili è posta a carico della SEM.</w:t>
      </w:r>
    </w:p>
    <w:p>
      <w:r>
        <w:rPr>
          <w:b/>
        </w:rPr>
        <w:t>E. 13</w:t>
      </w:r>
    </w:p>
    <w:p>
      <w:r>
        <w:t>Con l'emanazione della presente sentenza, la richiesta di concessione dell'effetto sospensivo formulata dal ricorrente il 3 maggio 2018 diviene senza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