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F-1614/2019 vom 14. Juni 2019</w:t>
      </w:r>
    </w:p>
    <w:p>
      <w:r>
        <w:t>Bundesverwaltungsgericht, 2019-06-14, DE</w:t>
      </w:r>
    </w:p>
    <w:p>
      <w:r>
        <w:rPr>
          <w:b/>
        </w:rPr>
        <w:t xml:space="preserve">Quelle: </w:t>
      </w:r>
      <w:r>
        <w:t>https://mcp.opencaselaw.ch/entscheid/bvger_F-1614_2019</w:t>
      </w:r>
    </w:p>
    <w:p>
      <w:r>
        <w:t>FR: TAF F-1614/2019 du 14 juin 2019</w:t>
      </w:r>
    </w:p>
    <w:p>
      <w:r>
        <w:t>IT: TAF F-1614/2019 del 14 giugno 2019</w:t>
      </w:r>
    </w:p>
    <w:p>
      <w:pPr>
        <w:pStyle w:val="Heading2"/>
      </w:pPr>
      <w:r>
        <w:t>Regeste</w:t>
      </w:r>
    </w:p>
    <w:p>
      <w:r>
        <w:t>nach Auflösung der Familiengemeinschaft</w:t>
      </w:r>
    </w:p>
    <w:p>
      <w:pPr>
        <w:pStyle w:val="Heading2"/>
      </w:pPr>
      <w:r>
        <w:t>Erwägungen</w:t>
      </w:r>
    </w:p>
    <w:p>
      <w:r>
        <w:rPr>
          <w:b/>
        </w:rPr>
        <w:t>E. 1.1</w:t>
      </w:r>
    </w:p>
    <w:p>
      <w:r>
        <w:t>Verfügungen des SEM betreffend Verweigerung der Zustimmung zur Verlängerung der Aufenthaltsbewilligung sind mit Beschwerde beim Bundesverwaltungsgericht anfechtbar (vgl. Art. 31 ff. VGG und Art. 5 VwVG).</w:t>
      </w:r>
    </w:p>
    <w:p>
      <w:r>
        <w:rPr>
          <w:b/>
        </w:rPr>
        <w:t>E. 1.2</w:t>
      </w:r>
    </w:p>
    <w:p>
      <w:r>
        <w:t>Das Rechtsmittelverfahren vor dem Bundesverwaltungsgericht richtet sich nach dem Verwaltungsverfahrensgesetz, soweit das Verwaltungsgerichtsgesetz nichts anderes bestimmt (vgl. Art. 37 VGG).</w:t>
      </w:r>
    </w:p>
    <w:p>
      <w:r>
        <w:rPr>
          <w:b/>
        </w:rPr>
        <w:t>E. 1.3</w:t>
      </w:r>
    </w:p>
    <w:p>
      <w:r>
        <w:t>Zur Beschwerde legitimiert ist gemäss Art. 48 VwVG, wer am Verfahren vor der Vorinstanz teilgenommen hat (Bst. a), wer durch die vorinstanzliche Verfügung besonders berührt ist (Bst. b) und ein schutzwürdiges Interesse an deren Aufhebung hat (Bst. c). Die ersten beiden Voraussetzungen sind vorliegend ohne Zweifel erfüllt. Fraglich ist jedoch, ob der Beschwerdeführer ein schutzwürdiges Interesse an der Aufhebung der Verfügung hat. Das Interesse an der Anfechtung der Verfügung ist dann schutzwürdig, wenn es aktuell und praktisch ist (vgl. Isabelle Häner, in: Kommentar zum Bundesgesetz über das Verwaltungsverfahren [VwVG], 2. Aufl. 2019, Rz. 22 zu Art. 48 m.H.; Marantelli/Huber, in: Praxiskommentar VwVG, 2. Aufl. 2016, Rz. 15 und 24 zu Art. 48 VwVG m.H.). Der Beschwerdeführer hat sich per 12. April 2018 ins Ausland abgemeldet (Bst. C.b), was gemäss Art. 61 Abs. 1 Bst. a AIG zum Erlöschen einer Bewilligung führt. Dies gilt umso mehr im vorliegenden Fall, wo der Aufenthalt lediglich auf einem hängigen Bewilligungsverfahren beruht. Mit der Abmeldung ins Ausland ist somit das aktuelle Rechtsschutzinteresse dahingefallen. Ob vorliegend die Voraussetzungen erfüllt sind, um auf dieses Kriterium zu verzichten (vgl. Häner, a.a.O., Rz. 23 zu Art. 48 m.H.; Marantelli/Huber, a.a.O., Rz. 15 zu Art. 48 VwVG m.H.; Kölz/Häner/Bertschi, Verwaltungsverfahren und Verwaltungsrechtspflege des Bundes, 3. Aufl. 2013, Rz. 340 m.H.), kann angesichts der nachfolgenden Erwägungen offen gelassen werden.</w:t>
      </w:r>
    </w:p>
    <w:p>
      <w:r>
        <w:rPr>
          <w:b/>
        </w:rPr>
        <w:t>E. 2.1</w:t>
      </w:r>
    </w:p>
    <w:p>
      <w:r>
        <w:t>Die vorinstanzliche Verfügung datiert vom 5. April 2018, die Beschwerde wurde am 4. April 2019, also erst ein Jahr später, eingereicht. Zu prüfen ist daher, ob vorliegend die Beschwerdefrist von 30 Tagen eingehalten wurde (vgl. Art. 50 Abs. 1 VwVG).</w:t>
      </w:r>
    </w:p>
    <w:p>
      <w:r>
        <w:rPr>
          <w:b/>
        </w:rPr>
        <w:t>E. 2.2</w:t>
      </w:r>
    </w:p>
    <w:p>
      <w:r>
        <w:t>Der Beschwerdeführer macht geltend, die Vorinstanz habe ihm die Verfügung zu einem Zeitpunkt zugestellt, als er sich im Ausland aufgehalten habe. Da er anwaltlich vertreten gewesen sei, habe er darauf vertrauen dürfen, dass die Verfügung seinem Rechtsvertreter zugestellt werde. Gemäss bundesgerichtlicher Rechtsprechung stelle dieses Vorgehen eine mangelhafte Eröffnung dar, aus der einer Partei gemäss Art. 38 VwVG kein Nachteil erwachsen dürfe. Weder er selbst noch sein Rechtsvertreter hätten somit die Verfügung erhalten. Vielmehr hätten sie frühestens am 5. März 2019 von ihr erfahren, weshalb die Rechtsmittelfrist frühestens am 6. März 2019 zu laufen begonnen habe. Mit der am 4. April 2019 eingereichten Beschwerde sei die 30-tägige Frist somit gewahrt.</w:t>
      </w:r>
    </w:p>
    <w:p>
      <w:r>
        <w:rPr>
          <w:b/>
        </w:rPr>
        <w:t>E. 2.3</w:t>
      </w:r>
    </w:p>
    <w:p>
      <w:r>
        <w:t>Dieser Auffassung kann nicht gefolgt werden. Zwar trifft es zu, dass eine Behörde ihre Mitteilung an den Rechtsvertreter zu machen hat, solange die Partei ihre Vollmacht nicht widerruft (vgl. Art. 11 Abs. 3 VwVG). Hierzu ergibt sich jedoch aus den Akten, dass die Kanzlei Wyssen trotz der entsprechenden Aufforderung der kantonalen Migrationsbehörde nie eine Vollmacht vorgelegt hat, findet sich eine solche doch weder in den kantonalen Akten noch in den Vorakten. Aber selbst, wenn sich die am 4. Januar 2017 unterschriebene Vollmacht (vgl. Beschwerdebeilage 1) bei den Akten befunden hätte, könnte der Vorinstanz nicht vorgeworfen werden, sie hätte diese nicht beachtet, da am 2. August 2017 ein neues Vertretungsverhältnis angezeigt wurde (Bst. B.c). Diesem trug die Vorinstanz Rechnung, indem sie, als die an den Beschwerdeführer selbst adressierte Einladung zur Stellungnahme von der Post retourniert wurde, bei der UNIA nachfragte, ob das Vertretungsverhältnis nach wie vor bestehe (Bst. C.a). Da dies verneint wurde, ist nicht zu beanstanden, dass die Vorinstanz keinen weiteren Zustellversuch unternommen (vgl. Art. 20 Abs. 2bis VwVG) und auch die Verfügung vom 5. April 2018 an den Beschwerdeführer selbst adressiert hat. Eine Pflicht, sämtliche frühere Vertretungsverhältnisse zu erforschen, besteht nicht. Vielmehr durfte die Vorinstanz davon ausgehen, dass der Beschwerdeführer mit der Anzeige eines neuen Vertretungsverhältnisses das frühere widerrufen hat. Die entsprechende Mitteilung an den Rechtsvertreter obliegt dabei dem Vollmachtgeber (vgl. Res Nyfenegger, in: Kommentar zum Bundesgesetz über das Verwaltungsverfahren [VwVG] 2. Aufl. 2019, Rz. 31 zu Art. 11 m.H., Marantelli/Huber, a.a.O., Rz. 24 zu Art. 11 VwVG m.H.; vgl. Urteil des BGer 2C_865/2017 vom 22. März 2019 E. 2.3).</w:t>
      </w:r>
    </w:p>
    <w:p>
      <w:r>
        <w:rPr>
          <w:b/>
        </w:rPr>
        <w:t>E. 2.4</w:t>
      </w:r>
    </w:p>
    <w:p>
      <w:r>
        <w:t>Zusammenfassend ist festzuhalten, dass die Eröffnung der vorinstanzlichen Verfügung vom 5. April 2018 rechtskonform erfolgt ist. Die Beschwerde vom 4. April 2019 ist somit nach Ablauf der Frist gemäss Art. 50 Abs. 1 VwVG eingereicht worden. Gründe, die zu einer Wiederherstellung der Beschwerdefrist führen könnten (vgl. Art. 24 Abs. 1 VwVG), werden weder geltend gemacht noch sind solche aus den Akten ersichtlich.</w:t>
      </w:r>
    </w:p>
    <w:p>
      <w:r>
        <w:rPr>
          <w:b/>
        </w:rPr>
        <w:t>E. 3</w:t>
      </w:r>
    </w:p>
    <w:p>
      <w:r>
        <w:t>Auf die verspätet eingereichte Beschwerde ist deshalb nicht einzutreten.</w:t>
      </w:r>
    </w:p>
    <w:p>
      <w:r>
        <w:rPr>
          <w:b/>
        </w:rPr>
        <w:t>E. 4</w:t>
      </w:r>
    </w:p>
    <w:p>
      <w:r>
        <w:t>Angesichts der Besonderheiten des vorliegenden Falls wird gestützt auf Art. 63 Abs. 1 letzter Satz VwVG i.V.m. Art. 6 Bst. b des Reglements vom 21. Februar 2008 über die Kosten und Entschädigungen vor dem Bundesverwaltungsgericht (VGKE, SR 173.320.2)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