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F-1600/2023 vom 7. November 2023</w:t>
      </w:r>
    </w:p>
    <w:p>
      <w:r>
        <w:t>Bundesverwaltungsgericht, 2023-11-07, DE</w:t>
      </w:r>
    </w:p>
    <w:p>
      <w:r>
        <w:rPr>
          <w:b/>
        </w:rPr>
        <w:t xml:space="preserve">Quelle: </w:t>
      </w:r>
      <w:r>
        <w:t>https://mcp.opencaselaw.ch/entscheid/bvger_F-1600_2023</w:t>
      </w:r>
    </w:p>
    <w:p>
      <w:r>
        <w:t>FR: TAF F-1600/2023 du 7 novembre 2023</w:t>
      </w:r>
    </w:p>
    <w:p>
      <w:r>
        <w:t>IT: TAF F-1600/2023 del 7 novembre 2023</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des Bundesgesetzes über das Bundesverwaltungsgericht vom 17. Juni 2005 [Verwaltungsge- richtsgesetz, VGG; SR 173.32]). Das Rechtsmittelverfahren richtet sich nach dem Bundesgesetz über das Verwaltungsverfahren vom 20. Dezem- ber 1968 (Verwaltungsverfahrensgesetz, VwVG; SR 172.021), soweit das VGG nichts anderes bestimmt (Art. 37 VGG).</w:t>
      </w:r>
    </w:p>
    <w:p>
      <w:r>
        <w:rPr>
          <w:b/>
        </w:rPr>
        <w:t>E. 1.2</w:t>
      </w:r>
    </w:p>
    <w:p>
      <w:r>
        <w:t>Der Beschwerdeführer ist zur Beschwerde legitimiert (vgl. Art. 48 Abs. 1 VwVG). Auf die frist- und formgerecht eingereichte Beschwerde ist einzutreten (vgl.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t>F-1600/2023 Seite 4</w:t>
      </w:r>
    </w:p>
    <w:p>
      <w:r>
        <w:rPr>
          <w:b/>
        </w:rPr>
        <w:t>E. 3.1</w:t>
      </w:r>
    </w:p>
    <w:p>
      <w:r>
        <w:t>Der angefochtenen Verfügung liegt das Gesuch eines iranischen Staatsangehörigen um Erteilung eines Visums zu Besuchszwecken für die Schweiz zugrunde. Da sich der Beschwerdeführer nicht auf die EU/EFTA- Personenfreizügigkeitsabkommen berufen kann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AIG und seine Aus- 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 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beziehungsweise Visum vermittelt auch das Schengen-Recht nicht (BVGE 2014/1 E. 4.1.1 und 4.1.5; 2011/48 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w:t>
      </w:r>
    </w:p>
    <w:p>
      <w:r>
        <w:t>F-1600/2023 Seite 5 internationalen Beziehungen eines Mitgliedstaats darstellen (vgl. zum Gan- 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3.4</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sodann verweigert, wenn begründete Zweifel an der Echtheit der vom Antragsteller vorgelegten Belege oder am Wahrheitsgehalt ihres In- halts, an der Glaubwürdigkeit seiner Aussagen oder der von ihm bekunde- ten Absicht bestehen, das Hoheitsgebiet der Mitgliedstaaten vor Ablauf der Gültigkeit des beantragten Visums zu verlassen (Art. 32 Abs. 1 Bst. b VK).</w:t>
      </w:r>
    </w:p>
    <w:p>
      <w:r>
        <w:rPr>
          <w:b/>
        </w:rPr>
        <w:t>E. 4</w:t>
      </w:r>
    </w:p>
    <w:p>
      <w:r>
        <w:t>Streitig und zu prüfen ist, ob der Beschwerdeführer die Voraussetzungen für die Erteilung eines Besuchervisums erfüllt, insbesondere ob er für eine fristgerechte Wiederausreise Gewähr bietet.</w:t>
      </w:r>
    </w:p>
    <w:p>
      <w:r>
        <w:rPr>
          <w:b/>
        </w:rPr>
        <w:t>E. 5.1</w:t>
      </w:r>
    </w:p>
    <w:p>
      <w:r>
        <w:t>Zur allgemeinen Situation in Iran kann festgehalten werden, dass die dortige Wirtschaft tief in der Rezession steckt; Inflation und Arbeitslosigkeit sind hoch. Ursächlich dafür sind Klientelpolitik, internationale Sanktionen und die grosse Abhängigkeit vom Erdölexport. Die Corona-Krise hat dabei die Situation zusätzlich verschärft. Teile der Mittelschicht sind verarmt. Zum Missmanagement des Staates kommt das fehlende Vertrauen der Bürger und Bürgerinnen in ihre Regierung. Seit Mitte September 2022 kommt es</w:t>
      </w:r>
    </w:p>
    <w:p>
      <w:r>
        <w:t>F-1600/2023 Seite 6 zudem in zahlreichen Städten des Landes zu Protesten gegen die Regie- rung. Bei Ausschreitungen und gewaltsamen Zusammenstössen zwischen Sicherheitskräften und Demonstrierenden sind zahlreiche Personen getö- tet oder verletzt worden. Teilweise wird dabei scharfe Munition eingesetzt. Auch die schwierige Wirtschaftslage und die latenten Spannungen führen periodisch zu Kundgebungen, zum Beispiel im Zusammenhang mit Preis- erhöhungen oder mit (religiösen) Lokalfeiertagen und Gedenktagen. Das Risiko von Anschlägen besteht im ganzen Land. So wurden im August 2023 sowie Oktober 2022 mehrere Personen bei Attentaten auf den Shah Cheragh-Schrein in Shiraz getötet oder verletzt (vgl. https://www.bpb.de /themen/naher-mittlerer-osten/iran/501914/wirtschaft/ und https://www. eda.admin.ch/eda/de/home/ vertretungen-und-reisehinweise/iran/reise- hinweise-fuer deniran.html#eda df2646; jeweils abgerufen im Oktober 2023). Vor diesem Hintergrund besteht bei der iranischen Bevölkerung ein vielfacher Wunsch nach Auswanderung, der erfahrungsgemäss dort be- günstigt wird, wo bereits Verwandte oder Bekannte im Ausland leben. Dass die Vorinstanz das Risiko einer nicht fristgerechten Wiederausreise von Besucherinnen und Besuchern aus dem Iran daher allgemein als hoch ein- schätzt, ist nicht zu beanstanden. Dies darf jedoch nicht dazu führen, dass Personen aus diesem Staat generell ein fehlender Rückkehrwille unterstellt wird.</w:t>
      </w:r>
    </w:p>
    <w:p>
      <w:r>
        <w:rPr>
          <w:b/>
        </w:rPr>
        <w:t>E. 5.2</w:t>
      </w:r>
    </w:p>
    <w:p>
      <w:r>
        <w:t>Bei der Prognose über die Absicht einer gesuchstellenden Person, den Schengen-Raum fristgerecht zu verlassen, muss deshalb zwingend deren persönliche, familiäre und berufliche beziehungsweise wirtschaftliche Situ- ation sowie deren Interessenlage mitberücksichtigt werden (BVGE 2014/1 E. 6.3.1). Obliegt einer gesuchstellenden Person im Heimatland beispiels- weise eine besondere berufliche, gesellschaftliche oder familiäre Verant- wortung, kann dies die Prognose für eine anstandslose Wiederausreise begünstigen. Umgekehrt muss bei Personen, denen in ihrer Heimat keine besonderen Verpflichtungen obliegen, das Risiko eines ausländerrechtlich nicht regelkonformen Verhaltens nach einer bewilligten Einreise als hoch eingeschätzt werden (BVGE 2014/1 E. 6.3.1; 2009/27 E. 8).</w:t>
      </w:r>
    </w:p>
    <w:p>
      <w:r>
        <w:rPr>
          <w:b/>
        </w:rPr>
        <w:t>E. 5.3</w:t>
      </w:r>
    </w:p>
    <w:p>
      <w:r>
        <w:t>Der Beschwerdeführer ist verheiratet und Vater von zwei Kindern (geb. (…) und (…) [SEM act. 2/38]). Gemäss seinen eigenen Aussagen sollen mit Ausnahme seiner Schwester und deren Ehemann seine ganze Familie und sämtliche Verwandten in Iran leben (vgl. BVGer act. 1, E. 3.2 und E. 3.3). Er arbeitet gemäss den vorinstanzlichen Akten seit dem 12. Dezember 2018 bei der Z._______ als “(…)” und erhält dort einen Lohn von mindestens (…) IRR (ca. Fr. (…) vgl.</w:t>
      </w:r>
    </w:p>
    <w:p>
      <w:r>
        <w:t>F-1600/2023 Seite 7 Arbeitsbestätigung und Lohnabrechnungen [SEM act. 2/33 ff.]). Davor war er mehrere Jahre bei einem anderen Arbeitgeber tätig (SEM act. 2/36). Seit dem Jahr 2008 ist denn auch die Einzahlung der Sozialversicherung belegt (SEM act. 2/36). Ferner ist er Wohneigentümer (SEM act. 2/32) und verfügt über liquides Vermögen. Sein Konto wies gemäss Auszug vom 22. Juni 2022 einen Saldo von (…) IRR (ca. Fr. (…) [SEM act. 2/40 f]) aus. Aus den Akten geht somit hervor, dass der Beschwerdeführer in seinem Heimatland in stabilen wirtschaftlichen Verhältnissen lebt und dort sowohl beruflich als auch familiär verwurzelt ist.</w:t>
      </w:r>
    </w:p>
    <w:p>
      <w:r>
        <w:rPr>
          <w:b/>
        </w:rPr>
        <w:t>E. 5.3.1</w:t>
      </w:r>
    </w:p>
    <w:p>
      <w:r>
        <w:t>In Anbetracht dieser Umstände machte denn auch die Vorinstanz gel- tend, eigentlich müsste davon ausgegangen werden, dass viele Elemente für eine fristgerechte Wiederausreise des Beschwerdeführers in sein Hei- matland sprechen würden. Das SEM gewichtete jedoch die schwierige all- gemeine Lage in Iran und den Umstand, dass die Schwester des Be- schwerdeführers in der Schweiz bereits ein Asylgesuch gestellt hatte, die- ses abgewiesen worden war, sie aber später in die Flüchtlingseigenschaft ihres Ehemannes einbezogen wurde, höher und erachtete die Gefahr einer nicht anstandslosen Wiederausreise als plausibel. Es könne nicht ausge- schlossen werden, so das SEM, dass der Beschwerdeführer mit dem Vi- sum versuchen wolle, in den Westen zu gelangen um dort ebenfalls ein Asylgesuch zu stellen (SEM act. 6).</w:t>
      </w:r>
    </w:p>
    <w:p>
      <w:r>
        <w:rPr>
          <w:b/>
        </w:rPr>
        <w:t>E. 5.3.2</w:t>
      </w:r>
    </w:p>
    <w:p>
      <w:r>
        <w:t>Wie den obgenannten Erwägungen zu entnehmen ist, gibt es einer- seits gute Gründe, die eine anstandslose Rückkehr des Beschwerdefüh- rers vermuten lassen, was auch das SEM grundsätzlich anzuerkennen scheint (persönliche Lebenssituation des Beschwerdeführers im Iran, stabile wirtschaftliche Verhältnisse), andererseits bestehen auch Gründe, welche gegen seine fristgerechte Wiederausreise sprechen (allgemeine Lage im Iran, Schwester des Beschwerdeführers ersuchte hierzulande um Asyl, lebt mittlerweile mit ihrem Ehemann in der Schweiz). Im Rahmen ei- ner Gesamtwürdigung kann jedoch nicht darüber hinweggesehen werden, dass der Beschwerdeführer von Anfang an stets gleichlautende Angaben zu seinen persönlichen Verhältnissen in Iran gemacht und diese bereits bei der Schweizer Vertretung in Teheran mit zahlreichen Dokumenten belegt hat. Seine Aussagen sind zudem in sich schlüssig und frei von Widersprü- chen. Identische Angaben zur beruflichen Tätigkeit des Beschwerdefüh- rers, zu seinem Arbeitgeber und seiner familiären Situation wurden über- dies bereits mit Einladungsschreiben vom 31. Mai 2022 von der Gastgebe- rin formuliert (SEM act. 2/50). Darüber hinaus beantragte der Beschwerde- führer in seinem Visumgesuch ein Schengen-Visum für die Dauer von</w:t>
      </w:r>
    </w:p>
    <w:p>
      <w:r>
        <w:t>F-1600/2023 Seite 8 lediglich 10 Tagen. Diese Abwesenheit steht im Einklang mit seinen beruf- lichen Verpflichtungen. Der im Visumantrag angegebene Zeitraum vom 20. Juli 2022 bis 30. Juli 2022 für den Besuchsaufenthalt in der Schweiz ergibt sich im Übrigen auch aus der eingereichten Arbeitsbestätigung vom 12. Juni 2022 (SEM act. 2/55, 2/31). Zu bedenken gilt es schliesslich, dass ausser der Schwester und deren Familie keine weiteren nahen Verwandten des Beschwerdeführers ins Ausland emigriert sind. Seine diesbezügliche Aussage wird denn auch gestützt durch identische Vorbringen der Schwes- ter anlässlich ihres Asylverfahrens (vgl. dazu die sich im Asyldossier (…) der Schwester befindenden Protokolle der Personalienaufnahme vom</w:t>
      </w:r>
    </w:p>
    <w:p>
      <w:r>
        <w:rPr>
          <w:b/>
        </w:rPr>
        <w:t>E. 5.3.3</w:t>
      </w:r>
    </w:p>
    <w:p>
      <w:r>
        <w:t>Die vom Beschwerdeführer als glaubhaft einzustufenden Vorbringen über seine Lebenssituation im Iran, die im Übrigen auch vom SEM nicht in Frage gestellt werden, sind somit geeignet, das Risiko einer nicht fristge- rechten Wiederausreise nach dem geplanten Besuchsaufenthalt herabzu- setzen. Die Prognose für eine anstandslose Wiederausreise erscheint da- mit vertretbar. Entgegen den Ausführungen des SEM in seiner Vernehm- lassung erscheint im Übrigen auch der Zweck des Aufenthaltes in der Schweiz, der 10-tägige Besuch der an gesundheitlichen Problemen leiden- den Schwester (Beilagen zu BVGer act. 7), nachvollziehbar.</w:t>
      </w:r>
    </w:p>
    <w:p>
      <w:r>
        <w:rPr>
          <w:b/>
        </w:rPr>
        <w:t>E. 5.4</w:t>
      </w:r>
    </w:p>
    <w:p>
      <w:r>
        <w:t>Zusammenfassend ist somit festzuhalten, dass dem Beschwerdeführer die Erteilung eines Visums weder wegen erheblicher Zweifel am Aufent- haltszweck noch mit der Begründung verweigert werden darf, die Wieder- ausreise erscheine nicht als hinreichend gesichert. Daran ändert nichts, dass das Risiko für eine Missachtung ausländerrechtlicher Normen natur- gemäss nie gänzlich ausgeschlossen werden kann. Die Beschwerde ist daher gutzuheissen, die angefochtene Verfügung aufzuheben und die Sa- che zu neuer Beurteilung an die Vorinstanz zurückzuweisen. Dabei bleibt der Vorinstanz zu prüfen, ob die übrigen Voraussetzungen für die Erteilung des beantragten Visums erfüllt sind. 6. 6.1 Für dieses Verfahren sind keine Kosten aufzuerlegen (Art. 63 Abs. 1 und 2 VwVG). Es erübrigt sich demzufolge, über den Antrag des Beschwer- deführers um Verzicht auf die Erhebung eines Kostenvorschusses zu be- finden (vgl. Sachverhalt Bst. E).</w:t>
      </w:r>
    </w:p>
    <w:p>
      <w:r>
        <w:t>F-1600/2023 Seite 9 6.2 Dem vertretenen Beschwerdeführer ist gestützt auf 64 VwVG i.Vm. Art. 7 ff. des Reglements vom 21. Februar 2008 über die Kosten und Ent- schädigungen vor dem Bundesverwaltungsgericht (VGKE, SR 173.320.2) zu Lasten der Vorinstanz eine angemessene Parteientschädigung zuzu- sprechen. Dem Gericht liegt keine Kostennote vor, weshalb die Parteient- schädigung aufgrund der Akten festzulegen ist (Art. 14 Abs. 2 VGKE). Un- ter Berücksichtigung der Akten und vergleichbarer Fälle wird die Parteient- schädigung auf gesamthaft Fr. 1'500.00 (inkl. Auslagen) festgelegt.</w:t>
      </w:r>
    </w:p>
    <w:p>
      <w:r>
        <w:t>(Dispositiv nächste Seite)</w:t>
      </w:r>
    </w:p>
    <w:p>
      <w:r>
        <w:t>F-1600/2023 Seite 10</w:t>
      </w:r>
    </w:p>
    <w:p>
      <w:r>
        <w:rPr>
          <w:b/>
        </w:rPr>
        <w:t>E. 6.1</w:t>
      </w:r>
    </w:p>
    <w:p>
      <w:r>
        <w:t>Für dieses Verfahren sind keine Kosten aufzuerlegen (Art. 63 Abs. 1 und 2 VwVG). Es erübrigt sich demzufolge, über den Antrag des Beschwerdeführers um Verzicht auf die Erhebung eines Kostenvorschusses zu befinden (vgl. Sachverhalt Bst. E).</w:t>
      </w:r>
    </w:p>
    <w:p>
      <w:r>
        <w:rPr>
          <w:b/>
        </w:rPr>
        <w:t>E. 6.2</w:t>
      </w:r>
    </w:p>
    <w:p>
      <w:r>
        <w:t>Dem vertretenen Beschwerdeführer ist gestützt auf 64 VwVG i.Vm. Art. 7 ff. des Reglements vom 21. Februar 2008 über die Kosten und Entschädigungen vor dem Bundesverwaltungsgericht (VGKE, SR 173.320.2) zu Lasten der Vorinstanz eine angemessene Parteientschädigung zuzusprechen. Dem Gericht liegt keine Kostennote vor, weshalb die Parteientschädigung aufgrund der Akten festzulegen ist (Art. 14 Abs. 2 VGKE). Unter Berücksichtigung der Akten und vergleichbarer Fälle wird die Parteientschädigung auf gesamthaft Fr. 1'500.00 (inkl. Auslagen) festgelegt. (Dispositiv nächste Seite)</w:t>
      </w:r>
    </w:p>
    <w:p>
      <w:r>
        <w:rPr>
          <w:b/>
        </w:rPr>
        <w:t>E. 9</w:t>
      </w:r>
    </w:p>
    <w:p>
      <w:r>
        <w:t>Mai 2019, Pkt. 3 sowie der Anhörung nach Art. 29 AsylG vom 12. Juni 2019, Antworten auf die Fragen F31 - F35).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