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F-1600/2015 vom 2. Februar 2017</w:t>
      </w:r>
    </w:p>
    <w:p>
      <w:r>
        <w:t>Bundesverwaltungsgericht, 2017-02-02, IT</w:t>
      </w:r>
    </w:p>
    <w:p>
      <w:r>
        <w:rPr>
          <w:b/>
        </w:rPr>
        <w:t xml:space="preserve">Quelle: </w:t>
      </w:r>
      <w:r>
        <w:t>https://mcp.opencaselaw.ch/entscheid/bvger_F-1600_2015</w:t>
      </w:r>
    </w:p>
    <w:p>
      <w:r>
        <w:t>FR: TAF F-1600/2015 du 2 février 2017</w:t>
      </w:r>
    </w:p>
    <w:p>
      <w:r>
        <w:t>IT: TAF F-1600/2015 del 2 febbraio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dinanzi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Conformemente all'art. 67 cpv. 1 LStr, la SEM vieta l'entrata in Svizzera, fatto salvo il cpv. 5, ad uno straniero allontanato se, l'allontanamento è eseguito immediatamente in virtù dell'articolo 64d capoverso 2 lettere a-c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In merito alle nozioni d'ordine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3.4</w:t>
      </w:r>
    </w:p>
    <w:p>
      <w:r>
        <w:t>In virtù del messaggio LStr precitato (FF 2002 3327, pag. 3428) l'emanazione di un divieto d'entrata non deve essere interpretato quale sanzione dal carattere penale, bensì quale misura di protezione a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4.1</w:t>
      </w:r>
    </w:p>
    <w:p>
      <w:r>
        <w:t>Nella fattispecie in disanima, la SEM ha pronunciato nei confronti di A._______ un divieto d'entrata ai sensi dell'art. 67 LStr della durata di 10 anni, ossia fino al 24 marzo 2024, ritenendo che con il suo agire delittuoso egli abbia gravemente violato ed esposto a pericolo l'ordine e la sicurezza pubblici.</w:t>
      </w:r>
    </w:p>
    <w:p>
      <w:r>
        <w:rPr>
          <w:b/>
        </w:rPr>
        <w:t>E. 4.2</w:t>
      </w:r>
    </w:p>
    <w:p>
      <w:r>
        <w:t>Come precedentemente rilevato (cfr. lett. C. supra) durante la sua presenza in Svizzera ha ripetutamente commesso infrazioni di carattere penale. Il 15 marzo 2004 gli è stata inflitta una multa per il reato di appropriazione semplice. In data 14 febbraio 2012 è stato condannato ad una pena pecuniaria di 50 aliquote giornaliere da fr. 80.- cadauna, sospesa per due anni, e ad una multa di fr. 500.-, per essersi reso colpevole del reato di omissione della contabilità. Infine il 22 ottobre 2012 A._______ ha subito la condanna più grave in quanto è stato riconosciuto colpevole dei reati di ripetuta falsità in documenti e trascuranza degli obblighi di mantenimento dalla Corte delle assise correzionali di Lugano, la quale ha pronunciato una pena detentiva di 8 mesi, posta al beneficio della sospensione condizionale per un periodo di prova di due anni. Con riferimento a quest'ultima condanna il Tribunale osserva come l'agire delittuoso dell'interessato si sia protratto su un lungo periodo di tempo ed abbia denotato un alto grado di spregiudicatezza. In effetti per quanto concerne il reato di ripetuta falsità in documenti occorre osservare che A._______ ha agito tra l'ottobre 2002 ed il maggio 2004, effettuando, in correità con il fratello F._______ e con la complicità della sorella G._______, decine di operazioni irregolari con carte di credito per un valore totale superiore a USD 1'200'000.- (cfr. sentenza della Corte delle assise correzionali di Lugano del 22 ottobre 2012, incarto Simic, pag. 38). Inoltre fra il 1° maggio 2006 ed il 28 febbraio 2009 egli non ha ottemperato all'obbligo di versare i contributi di mantenimento in favore della figlia E._______, benché avesse o potesse avere in mezzi per farlo (cfr. ibidem).</w:t>
      </w:r>
    </w:p>
    <w:p>
      <w:r>
        <w:rPr>
          <w:b/>
        </w:rPr>
        <w:t>E. 4.3</w:t>
      </w:r>
    </w:p>
    <w:p>
      <w:r>
        <w:t>Ne discende che questi comportamenti, sanzionati da specifiche norme del diritto penale, possono portare all'emissione di un divieto d'entrata poiché costituendo indubbiamente una violazione e mettendo in pericolo l'ordine e la sicurezza pubblici, adempiono ai requisiti dell'art. 67 cpv. 2 lett. a LStr.</w:t>
      </w:r>
    </w:p>
    <w:p>
      <w:r>
        <w:rPr>
          <w:b/>
        </w:rPr>
        <w:t>E. 5.1</w:t>
      </w:r>
    </w:p>
    <w:p>
      <w:r>
        <w:t>Come testé rilevato il divieto d'entrata in Svizzera è di regola pronunciato per una durata massima di cinque anni. Giusta l'art. 67 cpv. 2 lett. a LStr è possibile emanare un divieto d'entrata della durata massima citata, nei confronti di un cittadino non proveniente da un paese firmatario dell'ALC, qualora quest'ultimo ha violato o esposto a pericolo l'ordine e la sicurezza pubblici in Svizzera o all'estero. Ne discende che per le autorità elvetiche la pronuncia di un divieto d'entrata nei confronti di una persona non soggetta all'ALC per una durata massima di cinque anni sarà sottoposta al solo diritto interno elvetico, ed in particolare alla LStr, contrariamente a quanto accade per i cittadini al beneficio dell'ALC, che pone esigenze più severe per una tale misura.</w:t>
      </w:r>
    </w:p>
    <w:p>
      <w:r>
        <w:rPr>
          <w:b/>
        </w:rPr>
        <w:t>E. 5.2</w:t>
      </w:r>
    </w:p>
    <w:p>
      <w:r>
        <w:t>Un divieto d'entrata di una durata maggiore di cinque anni ai sensi dell'art. 67 cpv. 3 2a frase LStr, può essere deciso a condizione che la persona interessata costituisca una minaccia grave per la sicurezza e l'ordine pubblici. Questo sistema riprende l'art. 11 cpv. 2 della direttiva 2008/115/CE del Parlamento e del Consiglio europei del 16 dicembre 2008 relativa alle norme e procedure comuni applicabili agli Stati membri al rimpatrio di cittadini di paesi terzi il cui soggiorno è irregolare (cfr. GU L 348/98 del 24 dicembre 2008; Messaggio concernente l'approvazione e la trasposizione dello scambio di note tra la Svizzera e la CE relativo al recepimento della direttiva della CE sul rimpatrio [Direttiva 2008/115/CE] [Sviluppo dell'acquis di Schengen] e concernente una modifica della LStr [Controllo di confine automatizzato, consulenti in materia di documenti, sistema d'informazione MIDES], FF 2009 7737, pag. 7751). Secondo la citata norma di diritto europeo, il divieto d'entrata può essere adottato per una durata superiore a cinque anni qualora il cittadino di un paese terzo rappresenta una minaccia grave per l'ordine pubblico, la sicurezza pubblica o la sicurezza nazionale. Come detto questa regola ha ispirato l'art. 67 cpv. 3 2a frase LStr, che non fa alcuna distinzione tra cittadini ALC o di paesi terzi. Inoltre, il fatto che lo stesso ALC non fornisca indicazioni in merito ai divieti d'entrata, né a proposito della loro durata, significa che il legislatore federale ha deciso di non fare alcuna distinzione tra comunitari e non in materia di divieti d'entrata di durata superiore a cinque anni (DTF 139 II 121 consid. 6.2).</w:t>
      </w:r>
    </w:p>
    <w:p>
      <w:r>
        <w:rPr>
          <w:b/>
        </w:rPr>
        <w:t>E. 5.3</w:t>
      </w:r>
    </w:p>
    <w:p>
      <w:r>
        <w:t>Occorre dunque determinare le condizioni affinché sia possibile pronunciare un divieto d'entrata di durata superiore a cinque anni. In altre parole si tratta di fissare i criteri per riconoscere un «grave pericolo per l'ordine e la sicurezza pubblici» ai sensi dell'art. 67 cpv. 3 2a frase LStr, nozione che va oltre il concetto di «minaccia di una certa gravità» necessaria per poter emettere un divieto d'entrata anche nei confronti di un cittadino di uno Stato parte all'ALC (art. 5 allegato I ALC). Il concetto di «minaccia grave» ai sensi della LStr deve essere applicato eccezionalmente e presuppone un'analisi approfondita e la presa in considerazione di tutti gli elementi pertinenti di ogni fattispecie (Marc Spescha et al., op. cit., ad art. 67 LStr, n. marg. 5, pag. 196; Andrea Binder Oser, in Caroni/Gächter/Thurnherr, Bundesgesetz über die Ausländerinnen und Ausländer [AuG], 2010, ad art. 67 LStr, n. marg. 24, pag. 689).</w:t>
      </w:r>
    </w:p>
    <w:p>
      <w:r>
        <w:rPr>
          <w:b/>
        </w:rPr>
        <w:t>E. 5.4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6.1</w:t>
      </w:r>
    </w:p>
    <w:p>
      <w:r>
        <w:t>Dato che l'autorità inferiore ha pronunciato un divieto d'entrata di durata superiore a cinque anni, va qui di seguito esaminato, prima di procedere ad una ponderazione degli interessi in gioco, se è soddisfatto il criterio della minaccia grave giusta l'art. 67 cpv. 3 2a frase LStr.</w:t>
      </w:r>
    </w:p>
    <w:p>
      <w:r>
        <w:rPr>
          <w:b/>
        </w:rPr>
        <w:t>E. 6.2</w:t>
      </w:r>
    </w:p>
    <w:p>
      <w:r>
        <w:t>Come si è visto, i comportamenti penalmente reprensibili ascritti a A._______ riguardano principalmente reati contro il patrimonio. Dalla condanna pronunciata dalla Corte delle assise correzionali del 22 ottobre 2012 si evince infatti che il ricorrente nel periodo compreso tra ottobre 2002 e maggio 2004 ha «al fine di procacciare a sé o ad altri un indebito profitto, ripetutamente formato documenti falsi, facendone altresì uso a scopo d'inganno [...] usando carte di credito intestate a persone inesistenti oppure esistenti ma ignare di essere titolari delle stesse, allestito 50 falsi ordini di pagamento (vouchers) per complessivi USD 1'226'917, denaro bonificato in favore di conti bancari intestati al fratello F._______ negli Stati Uniti (inizialmente addebitati a seguito dei citati ordini di pagamento) previa trattenuta di complessivi USD 73'182.-».</w:t>
      </w:r>
    </w:p>
    <w:p>
      <w:r>
        <w:rPr>
          <w:b/>
        </w:rPr>
        <w:t>E. 6.3</w:t>
      </w:r>
    </w:p>
    <w:p>
      <w:r>
        <w:t>Si evince dunque che i delitti perpetrati dal ricorrente sono stati commessi sull'arco di più anni, hanno comportato una lunga serie di operazioni finanziarie illecite con carte di credito - commesse tra l'altro mediante l'utilizzo di identità fittizie riconducibili ad ignari conoscenti del ricorrente - le quali sono state compiute con una disarmante regolarità, hanno implicato un notevole movimento di denaro ed un consistente indebito beneficio. Sebbene le infrazioni commesse da A._______ non comportassero la messa in pericolo di beni giuridici quali la vita o l'integrità delle persone, bensì del patrimonio, esse devono essere considerate gravi. Non può in effetti essere condivisa l'argomentazione dell'interessato che nel ricorso ha definito i suoi comportamenti come episodici e dovuti alle circostanze economiche particolarmente difficili di quel momento. Il Tribunale ritiene invece che la pericolosità della condotta dell'insorgente non possa essere relativizzata dalla pena tutto sommato mite che la Corte delle assise correzionali di Lugano gli ha comminato, ovvero otto mesi di privazione della libertà. Dagli atti risulta infatti che nella commisurazione della pena l'autorità penale abbia dovuto tenere conto di un'importante violazione del principio di celerità del procedimento penale, ciò che ha fortemente contribuito alla riduzione della pena detentiva comminata. Occorre non da ultimo tenere in considerazione l'atteggiamento ostruzionistico palesato dal ricorrente durante l'inchiesta penale, attitudine di cui A._______ ha invero dato prova anche nell'ambito del presente procedimento. Per questi motivi il Tribunale ritiene giustificata l'emanazione di un divieto d'entrata per una durata superiore a cinque anni conformemente all'art. 67 cpv. 3 2a frase LStr.</w:t>
      </w:r>
    </w:p>
    <w:p>
      <w:r>
        <w:rPr>
          <w:b/>
        </w:rPr>
        <w:t>E. 7.1</w:t>
      </w:r>
    </w:p>
    <w:p>
      <w:r>
        <w:t>A fronte di quanto esposto resta ora da stabilire se la durata della misura di allontanamento adottata sia conforme al principio di proporzionalità e, procedendo ad un apprezzamento degli interessi privati e pubblici in gioco, valutare se sia adeguata alle circostanze del caso di specie.</w:t>
      </w:r>
    </w:p>
    <w:p>
      <w:r>
        <w:rPr>
          <w:b/>
        </w:rPr>
        <w:t>E. 7.2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7.3</w:t>
      </w:r>
    </w:p>
    <w:p>
      <w:r>
        <w:t>Quo all'interesse pubblico all'allontanamento del ricorrente dal territorio elvetico, si è già detto ai considerandi precedenti.</w:t>
      </w:r>
    </w:p>
    <w:p>
      <w:r>
        <w:rPr>
          <w:b/>
        </w:rPr>
        <w:t>E. 7.4</w:t>
      </w:r>
    </w:p>
    <w:p>
      <w:r>
        <w:t>In merito agli interessi privati, il ricorrente si è richiamato all'art. 8 CEDU, il quale garantisce il diritto al rispetto della vita privata e familiare, sottolineando che la decisione dell'autorità inferiore comporterebbe l'impossibilità di coltivare il rapporto con i tre figli residenti in Svizzera, ed in particolare con la terzogenita, che al momento della decisione era minorenne. A._______ ha inoltre sottolineato che in questo paese risiedono pure i genitori, un fratello e la sorella.</w:t>
      </w:r>
    </w:p>
    <w:p>
      <w:r>
        <w:rPr>
          <w:b/>
        </w:rPr>
        <w:t>E. 7.5</w:t>
      </w:r>
    </w:p>
    <w:p>
      <w:r>
        <w:t>Come detto, l'art. 8 CEDU tutela la vita privata e familiare delle persone. Questa disposizione non garantisce tuttavia il diritto di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w:t>
      </w:r>
    </w:p>
    <w:p>
      <w:r>
        <w:rPr>
          <w:b/>
        </w:rPr>
        <w:t>E. 7.6</w:t>
      </w:r>
    </w:p>
    <w:p>
      <w:r>
        <w:t>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140 I 77 consid. 5.2; 137 I 113 consid. 6.1).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7.7</w:t>
      </w:r>
    </w:p>
    <w:p>
      <w:r>
        <w:t>La protezione del diritto al rispetto della vita privata e familiare conferita dalla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7.8</w:t>
      </w:r>
    </w:p>
    <w:p>
      <w:r>
        <w:t>Nel caso di specie il Tribunale costata che i figli del ricorrente sono maggiorenni, inoltre, eccezion fatta per le generiche censure sollevate dallo stesso A._______ in sede di ricorso e di replica, agli atti non figurano elementi indicanti l'esistenza di rapporti stretti ed effettivamente vissuti tra l'interessato ed i figli. Al contrario emerge che il ricorrente è stato condannato proprio per il reato di trascuranza degli obblighi di mantenimento in quanto nel periodo compreso tra il 1° maggio 2006 ed il 28 febbraio 2009 non ha versato i contributi alimentari in favore della terzogenita, la quale era affidata alle cure della madre.</w:t>
      </w:r>
    </w:p>
    <w:p>
      <w:r>
        <w:rPr>
          <w:b/>
        </w:rPr>
        <w:t>E. 7.9</w:t>
      </w:r>
    </w:p>
    <w:p>
      <w:r>
        <w:t>Visto quanto precede la decisione impugnata non viola l'art. 8 CEDU e A._______ non può fondare alcun diritto sulla base di tale disposizione.</w:t>
      </w:r>
    </w:p>
    <w:p>
      <w:r>
        <w:rPr>
          <w:b/>
        </w:rPr>
        <w:t>E. 7.10</w:t>
      </w:r>
    </w:p>
    <w:p>
      <w:r>
        <w:t>Quanto testé considerato vale anche per ciò che concerne i rapporti tra il ricorrente e gli altri familiari presenti in Svizzera, non beneficiando questo tipo di relazioni della protezione del diritto al rispetto della vita privata e familiare ai sensi dell'art. 8 CEDU.</w:t>
      </w:r>
    </w:p>
    <w:p>
      <w:r>
        <w:rPr>
          <w:b/>
        </w:rPr>
        <w:t>E. 8</w:t>
      </w:r>
    </w:p>
    <w:p>
      <w:r>
        <w:t>Tenuto conto dell'insieme delle circostanze del caso concreto, ed in particolare vista la gravità degli atti delittuosi commessi dal ricorrente, il Tribunale ritiene che quest'ultimo rappresenti ad oggi un grave pericolo per l'ordine e la sicurezza pubblici. Non giova alla sua posizione nemmeno l'atteggiamento tenuto sia dinanzi all'autorità inferiore, sia dinanzi allo scrivente Tribunale. Al proposito vanno segnalati la mancanza di collaborazione ed i comportamenti ostruzionistici che ne hanno finora reso possibile l'espulsione. Vanno infine menzionate le infamanti accuse di abuso di potere e di sequestro di persona rivolte alle autorità, basate su una presunta naturalizzazione mai avvenuta, fatto di cui A._______ è perfettamente a conoscenza.</w:t>
      </w:r>
    </w:p>
    <w:p>
      <w:r>
        <w:rPr>
          <w:b/>
        </w:rPr>
        <w:t>E. 9</w:t>
      </w:r>
    </w:p>
    <w:p>
      <w:r>
        <w:t>Dalle considerazioni che precedono risulta che l'interesse pubblico all'allontanamento di A._______ dalla Svizzera prevale su quello privato di quest'ultimo ad entrarvi. Di conseguenza, da una corretta valutazione degli interessi pubblici e privati in gioco, emerge che il divieto d'entrata pronunciato dall'autorità inferiore per una durata di 10 anni è adeguato alle circostanze del caso concreto.</w:t>
      </w:r>
    </w:p>
    <w:p>
      <w:r>
        <w:rPr>
          <w:b/>
        </w:rPr>
        <w:t>E. 10</w:t>
      </w:r>
    </w:p>
    <w:p>
      <w:r>
        <w:t>Ne discende che la SEM con la decisione impugnata non ha violato il diritto federale, né abusato del suo potere d'apprezzamento; l'autorità di prime cure non ha in definitiva accertato in modo inesatto o incompleto i fatti giuridicamente rilevanti e la decisione non è inadeguata (art. 49 PA). Per questi motivi il ricorso va respinto.</w:t>
      </w:r>
    </w:p>
    <w:p>
      <w:r>
        <w:rPr>
          <w:b/>
        </w:rPr>
        <w:t>E. 11</w:t>
      </w:r>
    </w:p>
    <w:p>
      <w:r>
        <w:t>Visto l'esito della procedura, le spese processuali (art. 63 cpv. 1 PA) devono essere poste a carico del ricorrente, in quanto soccombente. Tuttavia alla luce della domanda di esonero delle stesse, accolta dal Tribunale con decisione incidentale del 22 luglio 2015, il ricorrente è esentato dal pagamento di ogni importo (cfr. lett. K. supra).</w:t>
      </w:r>
    </w:p>
    <w:p>
      <w:r>
        <w:rPr>
          <w:b/>
        </w:rPr>
        <w:t>E. 12</w:t>
      </w:r>
    </w:p>
    <w:p>
      <w:r>
        <w:t>Considerato l'esito della procedura, non sono assegnate spese ripetibili.</w:t>
      </w:r>
    </w:p>
    <w:p>
      <w:r>
        <w:rPr>
          <w:b/>
        </w:rPr>
        <w:t>E. 13</w:t>
      </w:r>
    </w:p>
    <w:p>
      <w:r>
        <w:t>Non essendo impugnabile con ricorso in materia di diritto pubblico dinanzi al Tribunale federale, la presente pronuncia è quindi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