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F-159/2022 vom 29. Dezember 2021</w:t>
      </w:r>
    </w:p>
    <w:p>
      <w:r>
        <w:t>Bundesverwaltungsgericht, 2021-12-29, FR</w:t>
      </w:r>
    </w:p>
    <w:p>
      <w:r>
        <w:rPr>
          <w:b/>
        </w:rPr>
        <w:t xml:space="preserve">Quelle: </w:t>
      </w:r>
      <w:r>
        <w:t>https://mcp.opencaselaw.ch/entscheid/bvger_F-159_2022_d20211229</w:t>
      </w:r>
    </w:p>
    <w:p>
      <w:r>
        <w:t>FR: TAF F-159/2022 du 29 décembre 2021</w:t>
      </w:r>
    </w:p>
    <w:p>
      <w:r>
        <w:t>IT: TAF F-159/2022 del 29 dicembre 2021</w:t>
      </w:r>
    </w:p>
    <w:p>
      <w:pPr>
        <w:pStyle w:val="Heading2"/>
      </w:pPr>
      <w:r>
        <w:t>Regeste</w:t>
      </w:r>
    </w:p>
    <w:p>
      <w:r>
        <w:t>Asile (non-entr&amp;eacute;e en mati&amp;egrave;re / proc&amp;eacute;dure Dublin) et renvoi | Asile (non-entrée en matière / procédure Dublin) et renvoi; décision du SEM du 29 décembre 2021</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 testées devant le Tribunal, lequel statue alors définitivement, sauf de- mande d’extradition déposée par l’Etat dont le requérant cherche à se pro- téger (art. 105 en relation avec l’art. 6a al. 1 LAsi, art. 33 let. d LTAF et art. 83 let. d ch. 1 LTF), exception non réalisée en l’espèce.</w:t>
      </w:r>
    </w:p>
    <w:p>
      <w:r>
        <w:rPr>
          <w:b/>
        </w:rPr>
        <w:t>E. 1.3</w:t>
      </w:r>
    </w:p>
    <w:p>
      <w:r>
        <w:t>Les intéressés ont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 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t>F-159/2022 Page 4</w:t>
      </w:r>
    </w:p>
    <w:p>
      <w:r>
        <w:rPr>
          <w:b/>
        </w:rPr>
        <w:t>E. 3</w:t>
      </w:r>
    </w:p>
    <w:p>
      <w:r>
        <w:t>Dans leur mémoire de recours du 11 janvier 2022, les intéressés se sont notamment prévalus d’une violation de la maxime inquisitoire, de sorte qu’il convient d’examiner en premier lieu le bien-fondé de ce grief d’ordre formel (dans le même sens, cf. notamment ATF 138 I 232 consid. 5.1, voir égale- ment l’arrêt du TAF F-2210/2019 du 15 mai 2019 consid. 2).</w:t>
      </w:r>
    </w:p>
    <w:p>
      <w:r>
        <w:rPr>
          <w:b/>
        </w:rPr>
        <w:t>E. 3.1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 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 que toutes les circonstances de fait et les moyens de preuve déterminants pour la décision n'ont pas été pris en compte par l'autorité inférieure (cf. no- tamment ATAF 2014/2 consid. 5.1 et 2012/21 consid. 5.1).</w:t>
      </w:r>
    </w:p>
    <w:p>
      <w:r>
        <w:rPr>
          <w:b/>
        </w:rPr>
        <w:t>E. 3.2</w:t>
      </w:r>
    </w:p>
    <w:p>
      <w:r>
        <w:t>Dans le cas particulier, les recourants ont reproché au SEM de ne pas avoir procédé à des mesures d’instruction complémentaires au sujet de l’état de santé de l’intéressée et de sa fille.</w:t>
      </w:r>
    </w:p>
    <w:p>
      <w:r>
        <w:rPr>
          <w:b/>
        </w:rPr>
        <w:t>E. 3.3</w:t>
      </w:r>
    </w:p>
    <w:p>
      <w:r>
        <w:t>Cela étant, compte tenu de l’absence de gravité et de complexité particulière ainsi que de l’infrastructure médicale disponible en Suède, les problèmes médicaux allégués par les intéressées ne sont pas de nature à constituer un obstacle à leur transfert dans ce pays (pour plus de détails à ce sujet, cf. le consid. 6 ci-après). Partant, le SEM pouvait renoncer à instruire plus en avant cet aspect, puisqu’il ne s’agit pas d’éléments susceptibles d’influer sur l’issue de la cause.</w:t>
      </w:r>
    </w:p>
    <w:p>
      <w:r>
        <w:rPr>
          <w:b/>
        </w:rPr>
        <w:t>E. 3.4</w:t>
      </w:r>
    </w:p>
    <w:p>
      <w:r>
        <w:t>. Les recourants ont également fait grief à l’autorité intimée de ne pas avoir ordonné des mesures d’instruction complémentaires au sujet de leur séjour en dehors du territoire des Etats membres de l’Espace Dublin. Compte tenu de l’invraisemblance des déclarations des intéressés à cet égard et de l’absence de moyens de preuve concrets (pour un examen plus détaillé de cet aspect, cf. le consid. 5.2 ss ci-après), le Tribunal considère cependant qu’on ne saurait reprocher au SEM de ne pas avoir instruit plus en avant cette question.</w:t>
      </w:r>
    </w:p>
    <w:p>
      <w:r>
        <w:t>F-159/2022 Page 5</w:t>
      </w:r>
    </w:p>
    <w:p>
      <w:r>
        <w:rPr>
          <w:b/>
        </w:rPr>
        <w:t>E. 3.5</w:t>
      </w:r>
    </w:p>
    <w:p>
      <w:r>
        <w:t>En conséquence, le grief tiré de la violation de la maxime inquisitoire doit être écarté.</w:t>
      </w:r>
    </w:p>
    <w:p>
      <w:r>
        <w:rPr>
          <w:b/>
        </w:rPr>
        <w:t>E. 3.6</w:t>
      </w:r>
    </w:p>
    <w:p>
      <w:r>
        <w:t>Enfin, dans la mesure où la communication des intéressés complétant le récit au sujet de leur séjour en dehors de l’Espace Dublin et demandant l’octroi d’un délai pour fournir des moyens de preuve à ce sujet a été expédiée le 30 décembre 2021 alors que la décision du SEM a été rendue le 29 décembre 2021, on ne saurait faire grief à l’autorité intimée de ne pas avoir donné suite à cette requête.</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 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L’Etat responsable de l’examen d’une demande de protection internationale en vertu du règlement Dublin III est tenu de reprendre en charge le ressortissant étranger dont la demande a été rejetée et qui a</w:t>
      </w:r>
    </w:p>
    <w:p>
      <w:r>
        <w:t>F-159/2022 Page 6 présenté une demande auprès d’un autre État membre ou qui se trouve, sans titre de séjour, sur le territoire d’un autre État membre (art. 18 par. 1 point d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5.1</w:t>
      </w:r>
    </w:p>
    <w:p>
      <w:r>
        <w:t>Dans le cas particulier, les investigations entreprises par le SEM ont révélé, après consultation de l’unité centrale du système européen « Eurodac », que les recourants avaient déposé une demande d’asile en Suède le 12 septembre 2015. Le 23 décembre 2021, le SEM a dès lors soumis aux autorités suédoises compétentes, dans le délai fixé à l’art. 23 par. 2 du règlement Dublin III, une requête aux fins de reprise en charge. Le 28 décembre 2021, lesdites autorités ont expressément accepté de reprendre en charge les intéressés, de sorte que la compétence de la Suède pour traiter leur demande d’asile est donnée.</w:t>
      </w:r>
    </w:p>
    <w:p>
      <w:r>
        <w:rPr>
          <w:b/>
        </w:rPr>
        <w:t>E. 5.2</w:t>
      </w:r>
    </w:p>
    <w:p>
      <w:r>
        <w:t>Dans leur mémoire de recours du 11 janvier 2022, les intéressés ont cependant fait valoir que la responsabilité de la Suède pour le traitement de leur demande d’asile avait cessé, dès lors qu’ils avaient quitté le terri- toire des Etats membres durant plus de trois mois.</w:t>
      </w:r>
    </w:p>
    <w:p>
      <w:r>
        <w:rPr>
          <w:b/>
        </w:rPr>
        <w:t>E. 5.3</w:t>
      </w:r>
    </w:p>
    <w:p>
      <w:r>
        <w:t>Les obligations de l'Etat membre responsable, prévues à l'art. 18 par. 1 du règlement Dublin III, cessent si l'Etat en question peut établir, lorsqu'il</w:t>
      </w:r>
    </w:p>
    <w:p>
      <w:r>
        <w:t>F-159/2022 Page 7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w:t>
      </w:r>
    </w:p>
    <w:p>
      <w:r>
        <w:rPr>
          <w:b/>
        </w:rPr>
        <w:t>E. 5.4</w:t>
      </w:r>
    </w:p>
    <w:p>
      <w:r>
        <w:t>Il ressort de l'interprétation de l’art. 19 par. 2 du règlement Dublin III qu'il appartient à l'Etat requis lors du processus de détermination de l'Etat membre responsable (à savoir quand il est saisi d'une demande de prise ou de reprise en charge par un autre Etat membre), d'invoquer un motif de cessation de responsabilité au sens de ces dispositions, la preuve étant à sa charge. Cela étant, l'Etat requérant est tenu d'informer l'Etat requis de tout fait important dont il a connaissance susceptible de motiver l'applica- tion de l'une des dispositions en question, afin que l'Etat requis puisse, le cas échéant, faire valoir un motif de cessation de responsabilité (cf. notam- ment l’arrêt du TAF E-2532/2016 du 28 avril 2016 p. 5 et les références citées).</w:t>
      </w:r>
    </w:p>
    <w:p>
      <w:r>
        <w:rPr>
          <w:b/>
        </w:rPr>
        <w:t>E. 5.5</w:t>
      </w:r>
    </w:p>
    <w:p>
      <w:r>
        <w:t>Dans le cas particulier, les arguments mis en avant par les recourants ne permettent pas au Tribunal de retenir qu’ils ont effectivement séjourné durant plus de trois mois hors de l’Espace Dublin. Le Tribunal considère en effet que c’est à bon droit que le SEM a qualifié le récit des intéressées au sujet de leur séjour en dehors du territoire des Etats membres de peu vrai- semblable. Pour le surplus, ils n’ont versé au dossier aucun moyen de preuve probant pour étayer leurs déclarations. Or, au regard de la durée alléguée de leur séjour en dehors des Etats membres, soit plus de dix-huit mois entre février 2020 et l’automne 2021, le Tribunal estime que les intéressés devraient être en mesure de fournir des moyens de preuve si leurs allégations étaient conformes à la réalité. Par ailleurs, il paraît très peu vraisemblable que les intéressés aient pu passer par la Bulgarie, la Serbie, la Hongrie (durant plus d’un mois) et l’Au- triche sans faire l’objet d’un quelconque contrôle par les autorités de ces pays, ce d’autant plus en une période où les frontières étaient en partie fermées compte tenu de la pandémie liée au corona virus.</w:t>
      </w:r>
    </w:p>
    <w:p>
      <w:r>
        <w:rPr>
          <w:b/>
        </w:rPr>
        <w:t>E. 5.6</w:t>
      </w:r>
    </w:p>
    <w:p>
      <w:r>
        <w:t>Sur un autre plan, il importe de noter que les autorités suédoises, dû- ment informées des déclarations des intéressés sur leur prétendue ab- sence pour plus de trois mois du territoire des Etats membres de l’Espace Dublin – ont expressément admis la requête de reprise en charge formée</w:t>
      </w:r>
    </w:p>
    <w:p>
      <w:r>
        <w:t>F-159/2022 Page 8 par le SEM (dans le même sens, cf. notamment les arrêts du TAF D- 1654/2021 du 19 avril 2021 p. 5 et F-6625/2018 du 29 novembre 2018 p. 4s).</w:t>
      </w:r>
    </w:p>
    <w:p>
      <w:r>
        <w:rPr>
          <w:b/>
        </w:rPr>
        <w:t>E. 5.7</w:t>
      </w:r>
    </w:p>
    <w:p>
      <w:r>
        <w:t>Dans ces conditions, le Tribunal ne saurait admettre que les recourants ont quitté l’Espace des Etats Dublin pendant au moins trois mois au sens de l’art. 19 par. 2 du règlement Dublin III. En conséquence, la Suède demeure l’Etat responsable de l’examen de leur demande d’asile.</w:t>
      </w:r>
    </w:p>
    <w:p>
      <w:r>
        <w:rPr>
          <w:b/>
        </w:rPr>
        <w:t>E. 5.8</w:t>
      </w:r>
    </w:p>
    <w:p>
      <w:r>
        <w:t>A toutes fins utiles, il sied encore de noter que même si l’on se tenait à la version des faits présentée par les recourants, la Suisse ne deviendrait pas pour autant l’Etat responsable pour le traitement de leur demande d’asile puisqu’ils ont déclaré avoir franchi irrégulièrement la frontière de l’Espace Dublin en Bulgarie (art. 13 par. 1 du règlement Dublin III).</w:t>
      </w:r>
    </w:p>
    <w:p>
      <w:r>
        <w:rPr>
          <w:b/>
        </w:rPr>
        <w:t>E. 6</w:t>
      </w:r>
    </w:p>
    <w:p>
      <w:r>
        <w:t>Pour s’opposer à leur transfert en Suède, les recourants ont par ailleurs fait valoir des problèmes médicaux.</w:t>
      </w:r>
    </w:p>
    <w:p>
      <w:r>
        <w:rPr>
          <w:b/>
        </w:rPr>
        <w:t>E. 6.1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 gagement du pronostic vital ou un déclin grave, rapide et irréversible de la santé tant psychique que physique (cf. notamment ATAF 2017 VI/7 con- sid. 6.2 et la jurisprudence citée).</w:t>
      </w:r>
    </w:p>
    <w:p>
      <w:r>
        <w:t>F-159/2022 Page 9</w:t>
      </w:r>
    </w:p>
    <w:p>
      <w:r>
        <w:rPr>
          <w:b/>
        </w:rPr>
        <w:t>E. 6.2</w:t>
      </w:r>
    </w:p>
    <w:p>
      <w:r>
        <w:t>En l’espèce, il ressort des pièces figurant au dossier que l’intéressée souffre de troubles psychiques liés à son parcours migratoire et qu’elle est en attente d’une prise en charge médicale. En outre, lors de son entretien Dublin, elle a déclaré avoir des problèmes à manger causés par sa vésicule biliaire. Sa fille a également exprimé le besoin de pouvoir bénéficier d’un encadrement médical en lien avec les traumatismes subis dans son pays d’origine.</w:t>
      </w:r>
    </w:p>
    <w:p>
      <w:r>
        <w:rPr>
          <w:b/>
        </w:rPr>
        <w:t>E. 6.3</w:t>
      </w:r>
    </w:p>
    <w:p>
      <w:r>
        <w:t>Bien que le dossier ne contienne pas de certificat médical au sujet des problèmes de santé allégués, force est de constater - sans vouloir minimiser les difficultés affectant les intéressées - que leurs troubles ne sont pas à ce point graves ou complexes qu’ils nécessiteraient une prise en charge particulière qui ferait opposition à leur transfert en Suède, pays disposant d’une infrastructure médicale comparable à celle de la Suisse, ni d’ailleurs que les recourantes ne seraient pas en mesure de voyager. Le dossier ne contient en effet aucun élément permettant de retenir que le transfert des intéressées en Suède les exposerait à un risque de déclin grave, rapide et irréversible de leur état de santé physique ou psychique, de sorte que les conditions d’application très restrictives posées par la jurisprudence à l’application de l’art. 3 CEDH ne sont pas réalisées dans le cas particulier.</w:t>
      </w:r>
    </w:p>
    <w:p>
      <w:r>
        <w:rPr>
          <w:b/>
        </w:rPr>
        <w:t>E. 6.4</w:t>
      </w:r>
    </w:p>
    <w:p>
      <w:r>
        <w:t>En tout état de cause, la Suède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6.5</w:t>
      </w:r>
    </w:p>
    <w:p>
      <w:r>
        <w:t>En conséquence, les intéressés ne sauraient se prévaloir d’éléments d’ordre médical de nature à constituer un obstacle à leur transfert vers la Suède au regard de l’art. 3 CEDH et à justifier ainsi l’application de la clause discrétionnaire prévue par l’art. 17 par. 1 du règlement Dublin III.</w:t>
      </w:r>
    </w:p>
    <w:p>
      <w:r>
        <w:rPr>
          <w:b/>
        </w:rPr>
        <w:t>E. 6.6</w:t>
      </w:r>
    </w:p>
    <w:p>
      <w:r>
        <w:t>A toutes fins utiles, il sied encore de noter que les autorités suédoises ont mentionné, dans le cadre de l’acceptation de la demande de reprise en charge du 28 décembre 2021, qu’au regard de l’écoulement du temps depuis le dépôt de leur première demande d’asile, les requérants avaient la possibilité d’engager une nouvelle procédure.</w:t>
      </w:r>
    </w:p>
    <w:p>
      <w:r>
        <w:rPr>
          <w:b/>
        </w:rPr>
        <w:t>E. 6.7</w:t>
      </w:r>
    </w:p>
    <w:p>
      <w:r>
        <w:t>Enfin, le Tribunal constate que le SEM a établi de manière complète et exacte l'état de fait pertinent et n'a commis ni excès ni abus de son large</w:t>
      </w:r>
    </w:p>
    <w:p>
      <w:r>
        <w:t>F-159/2022 Page 10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w:t>
      </w:r>
    </w:p>
    <w:p>
      <w:r>
        <w:rPr>
          <w:b/>
        </w:rPr>
        <w:t>E. 7</w:t>
      </w:r>
    </w:p>
    <w:p>
      <w:r>
        <w:t>En conséquence, c'est à bon droit que le SEM n'est pas entré en matière sur la demande d'asile des recourants, en application de l'art. 31a al. 1 let. b LAsi, et qu'il a prononcé leur transfert de Suisse en Suède, en application de l'art. 44 LAsi, aucune exception à la règle générale du renvoi n'étant réalisée (art. 32 OA 1).</w:t>
      </w:r>
    </w:p>
    <w:p>
      <w:r>
        <w:rPr>
          <w:b/>
        </w:rPr>
        <w:t>E. 8</w:t>
      </w:r>
    </w:p>
    <w:p>
      <w:r>
        <w:t>Partant, le recours est rejeté. En outre, dans la mesure où il a été immédiatement statué sur le fond, les requêtes formulées dans le mémoire de recours tendant à la dispense du versement d’une avance de frais et d’octroi de l’effet suspensif au recours sont devenues sans objet. Vu l'issue de la cause, il y a lieu de mettre les frais de procédure à la charge des recourants, conformément aux art. 63 al. 1 PA et art. 1 à 3 du règlement du 21 février 2008 concernant les frais, dépens et indemnités fixés par le Tribunal administratif fédéral (FITAF, RS 173.320.2). Dans la mesure où les conclusions du recours se sont avérées d'emblée vouées à l'échec, les recourants ne sauraient en effet prétendre à l’octroi de l’assistance judi- ciaire. (dispositif page suivante)</w:t>
      </w:r>
    </w:p>
    <w:p>
      <w:r>
        <w:t>F-159/2022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