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F-1598/2017 vom 11. Juni 2018</w:t>
      </w:r>
    </w:p>
    <w:p>
      <w:r>
        <w:t>Bundesverwaltungsgericht, 2018-06-11, FR</w:t>
      </w:r>
    </w:p>
    <w:p>
      <w:r>
        <w:rPr>
          <w:b/>
        </w:rPr>
        <w:t xml:space="preserve">Quelle: </w:t>
      </w:r>
      <w:r>
        <w:t>https://mcp.opencaselaw.ch/entscheid/bvger_F-1598_2017</w:t>
      </w:r>
    </w:p>
    <w:p>
      <w:r>
        <w:t>FR: TAF F-1598/2017 du 11 juin 2018</w:t>
      </w:r>
    </w:p>
    <w:p>
      <w:r>
        <w:t>IT: TAF F-1598/2017 del 11 giugno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le recourant étant ressortissant d'un Etat tiers (cf. art. 1 al. 2 LTAF en relation avec l'art. 83 let. c ch. 1 LTF).</w:t>
      </w:r>
    </w:p>
    <w:p>
      <w:r>
        <w:rPr>
          <w:b/>
        </w:rPr>
        <w:t>E. 1.3</w:t>
      </w:r>
    </w:p>
    <w:p>
      <w:r>
        <w:t>A moins que la LTAF n'en dispose autrement, la procédure devant le Tribunal est régie par la PA (art. 37 LTAF).</w:t>
      </w:r>
    </w:p>
    <w:p>
      <w:r>
        <w:rPr>
          <w:b/>
        </w:rPr>
        <w:t>E. 1.4</w:t>
      </w:r>
    </w:p>
    <w:p>
      <w:r>
        <w:t>Le recourant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121 al. 5 Cst - dont il convient de s'inspirer dans l'application de l'art. 67 LEtr (ATAF 2014/20 consid. 7) - les étrangers qui sont privés de leur titre de séjour pour avoir commis des infractions graves au sens de cette disposition doivent être frappés d'une interdiction d'entrer sur le territoire allant de cinq à quinze ans.</w:t>
      </w:r>
    </w:p>
    <w:p>
      <w:r>
        <w:rPr>
          <w:b/>
        </w:rPr>
        <w:t>E. 3.3</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 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Une interdiction d'entrée peut notamment être prononcée lorsque l'étranger a violé les prescriptions du droit en matière d'étrangers (cf. le Message précité, FF 2002 3568).</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3.6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4.1</w:t>
      </w:r>
    </w:p>
    <w:p>
      <w:r>
        <w:t>En l'occurrence, l'autorité inférieure a prononcé une décision d'interdiction d'entrée en Suisse d'une durée de dix ans à l'encontre du recourant. Elle a considéré qu'une telle mesure d'éloignement s'imposait en raison du nombre et de la gravité des infractions commises par le prénommé durant sa présence sur le territoire helvétique et de la mise en danger de la sécurité et de l'ordre publics qui en découlait.</w:t>
      </w:r>
    </w:p>
    <w:p>
      <w:r>
        <w:rPr>
          <w:b/>
        </w:rPr>
        <w:t>E. 4.2</w:t>
      </w:r>
    </w:p>
    <w:p>
      <w:r>
        <w:t>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l'intéressé constitue une menace grave pour la sécurité et l'ordre publics autorisant le prononcé d'une mesure d'éloignement de plus de cinq ans, au sens de l'art. 67 al. 3 2ème phrase LEtr.</w:t>
      </w:r>
    </w:p>
    <w:p>
      <w:r>
        <w:rPr>
          <w:b/>
        </w:rPr>
        <w:t>E. 5</w:t>
      </w:r>
    </w:p>
    <w:p>
      <w:r>
        <w:t>En l'espèce, le recourant a fait l'objet de multiples condamnations pénales en Suisse pour rixe, recel, tentative de meurtre, escroquerie, détournement de valeurs patrimoniales mises sous main de justice, calomnie, violation de domicile et faux dans les titres. Il s'impose de constater en outre que les condamnations pénales prononcées à l'endroit du recourant s'élèvent au total à plus de 39 mois de peines privatives de liberté (sur une période de sept ans) et que le prénommé a démontré, par le caractère récidivant des infractions qu'il a commises en Suisse, que les condamnations prononcées à son endroit n'avaient guère d'influence sur son comportement. Le Tribunal est amené à conclure que le recourant, par son comportement délictueux en Suisse, a indiscutablement attenté à la sécurité et à l'ordre publics, de sorte qu'il remplit les conditions d'application de l'art. 67 al. 2 let. a LEtr, si bien que la mesure d'interdiction d'entrée prononcée le 10 février 2017 est justifiée dans son principe.</w:t>
      </w:r>
    </w:p>
    <w:p>
      <w:r>
        <w:rPr>
          <w:b/>
        </w:rPr>
        <w:t>E. 6</w:t>
      </w:r>
    </w:p>
    <w:p>
      <w:r>
        <w:t>Il convient ensuite de déterminer si la menace que le recourant représente pour la sécurité et l'ordre publics en Suisse doit être qualifiée de grave et si elle est ainsi susceptible de justifier le prononcé d'une mesure d'éloignement allant au-delà de la durée maximale de cinq ans prévue à l'art. 67 al. 3 1ère phrase LEtr.</w:t>
      </w:r>
    </w:p>
    <w:p>
      <w:r>
        <w:rPr>
          <w:b/>
        </w:rPr>
        <w:t>E. 6.1</w:t>
      </w:r>
    </w:p>
    <w:p>
      <w:r>
        <w:t>Ainsi que le Tribunal fédéral l'a retenu dans son arrêt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w:t>
      </w:r>
    </w:p>
    <w:p>
      <w:r>
        <w:rPr>
          <w:b/>
        </w:rPr>
        <w:t>E. 6.2</w:t>
      </w:r>
    </w:p>
    <w:p>
      <w:r>
        <w:t>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6.3</w:t>
      </w:r>
    </w:p>
    <w:p>
      <w:r>
        <w:t>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w:t>
      </w:r>
    </w:p>
    <w:p>
      <w:r>
        <w:rPr>
          <w:b/>
        </w:rPr>
        <w:t>E. 6.4</w:t>
      </w:r>
    </w:p>
    <w:p>
      <w:r>
        <w:t>Dans le cas particulier, le Tribunal ne saurait poser un pronostic favorable quant au comportement futur de l'intéressé et le risque de réitération d'actes délictueux de sa part ne saurait être sous-estimé. Le Tribunal estime en outre que les infractions commises en Suisse par le recourant atteignent le degré de gravité requis pour justifier le prononcé d'une mesure d'éloignement allant nettement au-delà de la durée maximale de cinq ans prévue à l'art. 67 al. 3 1ère phrase LEtr, vu que le recourant s'est rendu coupable d'une tentative de meurtre, que sa faute a été qualifiée de « très grave » par le Tribunal cantonal du Valais et que la vie humaine est un bien juridiquement protégé au premier chef par la loi pénale.</w:t>
      </w:r>
    </w:p>
    <w:p>
      <w:r>
        <w:rPr>
          <w:b/>
        </w:rPr>
        <w:t>E. 6.5</w:t>
      </w:r>
    </w:p>
    <w:p>
      <w:r>
        <w:t>Le recourant a affirmé dans son mémoire de recours du 14 septembre 2017 qu'aucune récidive n'est intervenue après sa dernière condamnation. Sa sortie de prison, cependant, n'est que récente, ayant été condamné le 10 octobre 2012 à une peine privative de liberté de trente mois. De plus, il n'a fourni aucune preuve pour soutenir ses allégations, comme la production par exemple d'extraits de casiers judiciaires suisses et italiens.</w:t>
      </w:r>
    </w:p>
    <w:p>
      <w:r>
        <w:rPr>
          <w:b/>
        </w:rPr>
        <w:t>E. 6.6</w:t>
      </w:r>
    </w:p>
    <w:p>
      <w:r>
        <w:t>En conséquence, au regard de l'ensemble des circonstances du cas particulier, le Tribunal considère que l'activité délictuelle du recourant est constitutive d'une "menace grave" au sens du palier II défini par le Tribunal fédéral. Le Tribunal de céans arrive dès lors à la conclusion que c'est à juste titre que l'autorité intimée a retenu l'existence d'une menace caractérisée au sens de l'art. 67 al. 3 2eme phrase LEtr. De plus, les agissements du recourant tombent clairement sous le coup de l'art. 121 Cst. susmentionné, et sont susceptible de justifier le prononcé d'une interdiction d'entrée de plus de 5 ans pour cause de menace caractérisée.</w:t>
      </w:r>
    </w:p>
    <w:p>
      <w:r>
        <w:rPr>
          <w:b/>
        </w:rPr>
        <w:t>E. 7.1</w:t>
      </w:r>
    </w:p>
    <w:p>
      <w:r>
        <w:t>Dans son recours, le recourant s'est prévalu de l'art. 8 CEDH au regard des relations familiales qu'il souhaiterait continuer d'entretenir avec ses enfants légalement domiciliés en Suisse. À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en principe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7.2</w:t>
      </w:r>
    </w:p>
    <w:p>
      <w:r>
        <w:t>Dans le cas d'espèce, il sied de rappeler que le recourant ne peut se prévaloir de ses relations avec les mères de ses enfants, dont il est divorcé, ou avec ses enfants majeurs. S'agissant de la relation que le recourant a avec ses trois enfants cadets, le Tribunal relève que l'impossibilité pour le recourant de résider en Suisse ne résulte pas de l'interdiction d'entrée objet du présent recours, mais découle primairement du fait qu'il n'est plus titulaire d'une autorisation de séjour dans ce pays. En effet, le 24 mars 2014, le service de la population et des migrations du canton du Valais a révoqué l'autorisation d'établissement du recourant et prononcé son renvoi de Suisse, décision devenue définitive suite à un ultime recours rejeté par le Tribunal fédéral le 8 avril 2016. ll s'ensuit que l'appréciation de la situation du recourant susceptible d'être opérée sous l'angle de l'art. 8 CEDH dans le cadre de la présente procédure ne vise qu'à examiner si l'interdiction d'entrée prononcée à son endroit compliquerait de façon disproportionnée le maintien de ses relations familiales avec ses enfants mineurs vivant en Suisse. Dans ce contexte, il s'impose toutefois de relever que l'intéressé ne vivait pas avec ses enfants mineurs en Suisse dès lors qu'il a, selon ses propres allégations, refait sa vie avec une nouvelle compagne en Italie, où il possède un permis de séjour.</w:t>
      </w:r>
    </w:p>
    <w:p>
      <w:r>
        <w:rPr>
          <w:b/>
        </w:rPr>
        <w:t>E. 7.3</w:t>
      </w:r>
    </w:p>
    <w:p>
      <w:r>
        <w:t>Le Tribunal considère au surplus, compte tenu des condamnations pénales dont le recourant a fait l'objet et du risque de récidive que son comportement laisse planer, que même si celui-ci pouvait invoquer la protection de l'art. 8 par. 1 CEDH, le maintien de l'interdiction d'entrée en Suisse ne contreviendrait pas à cette disposition, dès lors qu'une ingérence dans l'exercice du droit à la protection de la vie familiale se révèlerait justifiée, conformément à l'art. 8 par. 2 CEDH. La mesure d'éloignement prononcée à l'encontre de l'intéressé ne constituerait au demeurant pas un obstacle insurmontable au maintien de relations familiales avec ses enfants mineurs (cf. supra, consid. B), dès lors qu'il lui est loisible d'entretenir des contacts avec ses enfants par téléphone ou d'autres moyens électroniques de communication et qu'il lui est possible de les rencontrer hors de Suisse ou, de manière ponctuelle, sur le territoire helvétique grâce à la délivrance de sauf-conduit en faveur du recourant. Aussi, après une pondération des intérêts publics et privés en présence et au regard de l'ensemble des circonstances de la cause, le Tribunal considère que l'interdiction d'entrée prononcée à son endroit ne contreviendrait pas à la disposition conventionnelle précitée, dès lors qu'une ingérence dans l'exercice du droit à la protection de la vie familiale se justifie dans le cas d'espèce et est conforme à l'art. 8 par. 2 CEDH.</w:t>
      </w:r>
    </w:p>
    <w:p>
      <w:r>
        <w:rPr>
          <w:b/>
        </w:rPr>
        <w:t>E. 8.1</w:t>
      </w:r>
    </w:p>
    <w:p>
      <w:r>
        <w:t>Il convient encore d'examiner la durée de la mesure d'éloignement prononcée à l'encontre du recourant au regard des principes de proportionnalité et de l'égalité de traitement. 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 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135 II 377 consid. 4.2 et 4.3). La détermination de la durée d'une interdiction d'entrée dans un cas concret doit tenir compte en particulier de l'importance des biens juridiques menacés et des intérêts privés concernés (cf. ATAF 2014/20 consid. 8.2 et 8.3).</w:t>
      </w:r>
    </w:p>
    <w:p>
      <w:r>
        <w:rPr>
          <w:b/>
        </w:rPr>
        <w:t>E. 8.2</w:t>
      </w:r>
    </w:p>
    <w:p>
      <w:r>
        <w:t>En l'espèce, le Tribunal observe que les motifs retenus à l'appui de la mesure d'éloignement prononcée par le SEM (soit les quatre condamnations pénales dont le recourant a fait l'objet entre 1997 et 2012, notamment pour rixe, recel, tentative de meurtre, escroquerie, détournement de valeurs patrimoniales mises sous main de justice, calomnie, violation de domicile et faux dans les titres), sont d'une gravité caractérisée et justifient une intervention ferme des autorités. On ne saurait en effet passer sous silence l'activité délictuelle continue que l'intéressé a déployée durant son séjour en Suisse et il existe par conséquent un intérêt public indéniable à le tenir éloigné du territoire national, compte tenu du risque de récidive. D'autre part, le recourant s'est en particulier prévalu de ses attaches familiales sur le sol helvétique et a fait valoir que compte tenu de sa durée, la mesure d'éloignement l'empêchait durablement d'avoir des contacts réguliers avec ses enfants. Or, comme précisé ci-dessus, l'intéressé vit en Italie et visite illégalement de temps en temps ses enfants en Suisse. Or, dans la mesure où le recourant a toujours la possibilité d'entretenir des contacts avec ses enfants depuis l'Italie, via des moyens de télécommunication, et qu'il peut rencontrer ses enfants sur sol italien, l'intérêt privé du recourant à pouvoir se rendre librement en Suisse pour y entretenir des relations familiales ne saurait l'emporter, actuellement, sur l'intérêt public à son éloignement.</w:t>
      </w:r>
    </w:p>
    <w:p>
      <w:r>
        <w:rPr>
          <w:b/>
        </w:rPr>
        <w:t>E. 8.3</w:t>
      </w:r>
    </w:p>
    <w:p>
      <w:r>
        <w:t>Au vu de ce qui précède et après une pondération des intérêts publics et privés en présence et au regard de l'ensemble des circonstances du cas d'espèce, le Tribunal juge que l'interdiction d'entrée prononcée par l'autorité inférieure est adéquate et que sa durée respecte le principe de proportionnalité.</w:t>
      </w:r>
    </w:p>
    <w:p>
      <w:r>
        <w:rPr>
          <w:b/>
        </w:rPr>
        <w:t>E. 9.1</w:t>
      </w:r>
    </w:p>
    <w:p>
      <w:r>
        <w:t>Dans la décision attaquée,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3.7). Le recourant a soutenu dans ses observations du 14 septembre 2017 que l'inscription dans le SIS II le pénalisait doublement, dans le sens qu'il se retrouvait privé de ses enfants comme de sa conjointe. Pour ce qui est de sa conjointe domiciliée en Italie, il ressort de la cause que le recourant est au bénéfice d'un permis de séjour italien, ce qui signifie que ce pays lui a octroyé ne autorisation d'entrée et son inscription au SIS ne saurait l'affecter sur ce plan-là. Quant à l'impact que la mesure d'éloignement a sur ses relations avec ses enfants, il convient de se référer au considérant 7.3 ci-avant.</w:t>
      </w:r>
    </w:p>
    <w:p>
      <w:r>
        <w:rPr>
          <w:b/>
        </w:rPr>
        <w:t>E. 10</w:t>
      </w:r>
    </w:p>
    <w:p>
      <w:r>
        <w:t>C'est enfin à bon droit que le SEM n'a pas fait application, en l'espèce, de l'at. 67 al. 5 LEtr. Il ne ressort en effet pas du dossier que des raisons humanitaires ou d'autres motifs importants puissent justifier le renoncement au prononcé d'une mesure d'éloignement au vu de la nature et de la gravité des infractions commises par le recourant.</w:t>
      </w:r>
    </w:p>
    <w:p>
      <w:r>
        <w:rPr>
          <w:b/>
        </w:rPr>
        <w:t>E. 11</w:t>
      </w:r>
    </w:p>
    <w:p>
      <w:r>
        <w:t>La décision du SEM du 10 février 2017 étant conforme au droit, le recours est en conséquence rejeté. 12.Par décision du 27 avril 2018, le Tribunal a mis le recourant au bénéfice de l'assistance judicaire totale et désigné Me Abe Neeman en qualité d'avocat d'office pour la présente procédure, en application de l'art. 65 al. 1 et 2 PA. Aussi, il convient de dispenser le recourant du paiement des frais de procédure et d'allouer à son défenseur d'office une indemnité à titre d'honoraires pour les frais indispensables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Me Aba Neeman, du tarif applicable en l'espèce et du degré de difficulté de la présente cause au plan juridique, cette indemnité, à titre d'honoraires, sera fixée à Frs. 1'200.--. Le recourant a l'obligation de rembourser ce montant si il revient à meilleure fortune (cf.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