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F-1597/2019 vom 24. Juni 2019</w:t>
      </w:r>
    </w:p>
    <w:p>
      <w:r>
        <w:t>Bundesverwaltungsgericht, 2019-06-24, FR</w:t>
      </w:r>
    </w:p>
    <w:p>
      <w:r>
        <w:rPr>
          <w:b/>
        </w:rPr>
        <w:t xml:space="preserve">Quelle: </w:t>
      </w:r>
      <w:r>
        <w:t>https://mcp.opencaselaw.ch/entscheid/bvger_F-1597_2019</w:t>
      </w:r>
    </w:p>
    <w:p>
      <w:r>
        <w:t>FR: TAF F-1597/2019 du 24 juin 2019</w:t>
      </w:r>
    </w:p>
    <w:p>
      <w:r>
        <w:t>IT: TAF F-1597/2019 del 24 giugno 2019</w:t>
      </w:r>
    </w:p>
    <w:p>
      <w:pPr>
        <w:pStyle w:val="Heading2"/>
      </w:pPr>
      <w:r>
        <w:t>Regeste</w:t>
      </w:r>
    </w:p>
    <w:p>
      <w:r>
        <w:t>Asile (non-entrée en matière / procédure Dublin) et renvoi</w:t>
      </w:r>
    </w:p>
    <w:p>
      <w:pPr>
        <w:pStyle w:val="Heading2"/>
      </w:pPr>
      <w:r>
        <w:t>Erwägungen</w:t>
      </w:r>
    </w:p>
    <w:p>
      <w:r>
        <w:rPr>
          <w:b/>
        </w:rPr>
        <w:t>E. 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Par ailleurs, l'intéressée a qualité pour recourir (art. 48 al. 1 PA, applicable par renvoi de l'art. 37 LTAF). Présenté dans la forme (art. 52 al. 1 en relation avec l'art. 33a PA) et le délai (art. 108 al. 3 LAsi) prescrits par la loi, le recours est donc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2009/54 consid. 1.3.3; 2007/8 consid. 5).</w:t>
      </w:r>
    </w:p>
    <w:p>
      <w:r>
        <w:rPr>
          <w:b/>
        </w:rPr>
        <w:t>E. 3</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(cf. ATAF 2017 VI/5 consid. 6.2). Dans une procédure de reprise en charge, comme en l'espèce (anglais : take back), il n'y a en principe aucun nouvel examen de la compétence selon le chapitre III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w:t>
      </w:r>
    </w:p>
    <w:p>
      <w:r>
        <w:rPr>
          <w:b/>
        </w:rPr>
        <w:t>E. 4</w:t>
      </w:r>
    </w:p>
    <w:p>
      <w:r>
        <w:t>En l'occurrence, les investigations entreprises par le SEM ont permis de déterminer que l'intéressée a déposé une demande d'asile en Italie le 12 décembre 2017 (hit Eurodac). Cet office a dès lors soumis aux autorités italiennes compétentes, dans le délai fixé à l'art. 23 par. 2 du règlement Dublin III, une requête aux fins de reprise en charge de l'intéressée. L'Italie l'a acceptée dans le délai de l'art. 25 par. 1 du règlement Dublin III et, partant, a reconnu sa compétence pour traiter la demande d'asile. La recourante n'a d'ailleurs pas contesté la compétence de ce pays.</w:t>
      </w:r>
    </w:p>
    <w:p>
      <w:r>
        <w:rPr>
          <w:b/>
        </w:rPr>
        <w:t>E. 5</w:t>
      </w:r>
    </w:p>
    <w:p>
      <w:r>
        <w:t>La recourante s'étant prévalue d'une violation de son droit d'être entendue et de la maxime inquisitoire, il y a lieu d'examiner en premier lieu le bien-fondé de ces griefs d'ordre formel (cf., notamment, arrêt du Tribunal fédéral [ci-après : TF] 2C_360/2011 du 18 novembre 2011 consid. 2). Ainsi, l'intéressée a reproché à l'autorité inférieure de ne pas avoir pris en considération son état de santé physique et psychique et de ne pas avoir traité la question des possibilités de soins appropriés en cas de renvoi.</w:t>
      </w:r>
    </w:p>
    <w:p>
      <w:r>
        <w:rPr>
          <w:b/>
        </w:rPr>
        <w:t>E. 5.1</w:t>
      </w:r>
    </w:p>
    <w:p>
      <w:r>
        <w:t>Selon la jurisprudence relative à l'art. 29 al. 2 Cst., la motivation d'une décision est suffisante lorsque l'autorité mentionne, au moins brièvement, les motifs qui l'ont guidée et sur lesquels elle a fondé sa décision, de manière à ce que l'intéressée puisse se rendre compte de la portée de celle-ci et l'attaquer en connaissance de cause. L'autorité ne doit toutefois pas se prononcer sur tous les moyens des parties ; elle peut se limiter aux questions décisives (arrêt du TF 2C_360/2011 précité consid. 2.1 et les réf. cit.). Cela étant, force est de constater que l'autorité précédente, dans sa décision du 20 mars 2019, a décrit de manière détaillée les diagnostics ressortant de la documentation médicale versée en cause. Elle en a déduit que celle-ci ne permettait pas de retenir une mise en danger sérieuse de la santé de la recourante et indiqué pour quelles raisons elle était d'avis que l'intéressée aurait accès à un traitement adéquat en Italie. Le SEM a finalement rappelé que la situation médicale de l'intéressée serait encore évaluée avant le transfert et les informations pertinentes transmises aux autorités italiennes. En procédant de la sorte, l'autorité précédente a suffisamment motivé sa décision sous l'angle de l'état de santé de la recourante. Le grief tiré de la violation du droit d'être entendu est donc infondé.</w:t>
      </w:r>
    </w:p>
    <w:p>
      <w:r>
        <w:rPr>
          <w:b/>
        </w:rPr>
        <w:t>E. 5.2</w:t>
      </w:r>
    </w:p>
    <w:p>
      <w:r>
        <w:t>En vertu de l'art. 12 PA en relation avec l'art. 6 LAsi, l'autorité constate les faits d'office et procède s'il y a lieu à l'administration des preuves nécessaires à l'établissement des faits pertinents (cf., à ce sujet, ATAF 2015/10 consid. 3.2 et ATAF 2012/21 consid. 5.1). En l'occurrence, par acte du 1er mars 2019, la recourante a indiqué que, depuis son placement à [...], elle avait fait l'objet d'un « suivi médical intensif médecine générale et cardiologie » et qu'elle avait été remise sous traitement (pce B8 p. 2). Ensuite, par acte du 18 mars 2019, l'intéressée a produit un rapport médical détaillé du 25 janvier 2019 établi par le Dr [...], cardiologue, et des rapports médicaux des 8 février et 1er mars 2019 rédigés par le Dr [...], également cardiologue. Dès lors que rien au dossier n'incitait à penser que la recourante souffrait d'une affection psychiatrique lourde faisant éventuellement obstacle à son transfert en Italie, on ne saurait reprocher au SEM d'avoir statuer dans la présente cause sans procéder à des investigations complémentaires sur le plan psychiatrique. Il sied donc de retenir que l'administration a respecté les obligations qui lui incombaient sous l'angle de la maxime inquisitoire.</w:t>
      </w:r>
    </w:p>
    <w:p>
      <w:r>
        <w:rPr>
          <w:b/>
        </w:rPr>
        <w:t>E. 6.1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et peut en outre admettre cette responsabilité pour des raisons humanitaires au sens de l'art. 29a al. 3 OA 1. Cette disposition confère au SEM une marge d'appréciation qu'il est tenu d'exercer conformément à la loi (ATAF 2015/9 consid. 6 à 8). Or, il ressort de la jurisprudence du Tribunal que pour retenir ou non l'existence de raisons humanitaires, il faut procéder à un examen de l'ensemble des éléments du cas d'espèce (arrêt du TAF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(ATAF 2011/9 précité consid. 8.2).</w:t>
      </w:r>
    </w:p>
    <w:p>
      <w:r>
        <w:rPr>
          <w:b/>
        </w:rPr>
        <w:t>E. 6.2.1</w:t>
      </w:r>
    </w:p>
    <w:p>
      <w:r>
        <w:t>La recourante invoque qu'elle aurait subi des traitements inhumains et dégradants en Italie et que le SEM ne lui aurait donné aucune garantie adaptée à ses besoins particuliers, compte tenu de son âge avancé, de son état de santé et du fait qu'elle ne disposerait d'aucune famille ou de proche en Italie. Elle a également expliqué qu'un transfert en Italie reviendrait à l'exposer à des risques de traitements inhumains et dégradants si ce pays devait la renvoyer au Cameroun (cf. pce TAF 1 p. 5). En ne prenant pas en compte l'ensemble des facteurs permettant d'entrer en matière sur sa demande d'asile, le SEM aurait commis un excès négatif de son pouvoir d'appréciation (cf. pce TAF 1 p. 6).</w:t>
      </w:r>
    </w:p>
    <w:p>
      <w:r>
        <w:rPr>
          <w:b/>
        </w:rPr>
        <w:t>E. 6.2.2</w:t>
      </w:r>
    </w:p>
    <w:p>
      <w:r>
        <w:t>Tout d'abord, 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(Conv. réfugiés, RS 0.142.30) ainsi qu'au Protocole additionnel du 31 janvier 1967 (Prot., RS 0.142.301), à la CEDH et à la Convention contre la torture précitée.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Il est certes notoire que les autorités italiennes ont de sérieux problèmes en matière de capacité d'accueil de nouveaux requérants d'asile (cf. notamment le rapport de l'Organisation suisse d'aide aux réfugiés [OSAR] : Italie, Conditions d'accueil ; Situation actuelle des requérant-e-s d'asile et des bénéficiaires d'une protection, en particulier celles et ceux de retour en Italie dans le cadre de Dublin, août 2016). Cependant, même si le dispositif d'accueil et d'assistance sociale souffre de carences, on ne saurait en tirer la conclusion qu'il existerait manifestement en Italie des carences structurelles essentielles,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(par. 115), les structures et la situation générale quant aux dispositions prises pour l'accueil des demandeurs d'asile en Italie ne peuvent en soi être assimilées à des obstacles au transfert de tout demandeur d'asile vers ce pays.</w:t>
      </w:r>
    </w:p>
    <w:p>
      <w:r>
        <w:rPr>
          <w:b/>
        </w:rPr>
        <w:t>E. 6.2.3</w:t>
      </w:r>
    </w:p>
    <w:p>
      <w:r>
        <w:t>Cette présomption de sécurité peut être renversée en présence d'indices sérieux que, dans le cas concret, les autorités de cet Etat ne respecteraient pas le droit international (ATAF 2010/45 consid. 7.4 et 7.5). Or de tels indices font défaut dans la présente affaire. Ainsi, il sied de souligner que la recourante, femme de 55 ans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L'intéressée n'a d'autre part pas fourni d'indice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S'agissant du décret Salvini, entré en vigueur le 5 octobre 2018 puis approuvé en tant que loi par le parlement italien le 28 novembre suivant, lequel limite notamment l'accès au système de protection pour requérants d'asile et réfugiés (SPRAR), il ne saurait être décisif dans le cas particulier. En effet, ce décret n'a, selon le jugement n° 4890 du 19 février 2019 de la Cour Suprême de cassation italienne, pas d'effet rétroactif (cf. consid. 10 ss du jugement précité, voire aussi arrêts du TAF D-1486/2019 du 4 avril 2019, p. 9 et F-2746/2019 du 12 juin 2019) et ne s'applique dès lors pas à la demande d'asile de la recourante, déposée en décembre 2017 en Italie. Dans ces conditions, les allégations de la recourante - au demeurant aucunement étayées -, selon lesquelles, en raison du décret « Salvini », elle n'aurait plus eu de nouvelles de l'avocat du foyer (qui lui avait certifié qu'il allait interjeter recours contre la décision rejetant sa demande d'asile en Italie) ne sauraient être déterminantes dans la présente affaire. Sur le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F-2058/2019 du 6 mai 2019 consid. 5.4, E-1907/2019 du 30 avril 2019, D-195/2019 du 16 janvier 2019 et E-539/2018 du 31 janvier 2018).</w:t>
      </w:r>
    </w:p>
    <w:p>
      <w:r>
        <w:rPr>
          <w:b/>
        </w:rPr>
        <w:t>E. 6.2.4</w:t>
      </w:r>
    </w:p>
    <w:p>
      <w:r>
        <w:t>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En l'occurrence, selon le rapport médical du 25 janvier 2019, la patiente présente une haute tension artérielle sévère (165/115mmHg) qui est en cours de traitement et sous contrôle, étant précisé qu'il n'y a pas d'arguments pour une cardiopathie post-hypertensive à l'heure actuelle (avec fraction d'éjection à 57% - qualifiée de limite - associée à un strain longitudinal global altéré à -14,4%). En ce qui concerne le rapport du 8 février 2019, celui-ci indique que la patiente est cliniquement asymptomatique, qu'elle ne souffre d'aucune douleur thoracique et qu'il n'y a pas de lipothymie durant l'effort. Il relève également qu'il n'y a ni modification significative du segment ST, ni trouble rythmique conductif et qu'aucune extrasystole ventriculaire (ESV) n'est présente durant l'effort. Le médecin relève que le traitement antihypertenseur actuel doit être poursuivi, avec réévaluation à distance de l'efficacité et préconise un contrôle cardiologique chez sa patiente dans une année. Quant au rapport médical du 1er mars 2019, il retient le diagnostic suivant : cardiopathie hypertensive et obésité (BMI 35kg/m2). Enfin, le rapport médical du 4 juin 2019 (dont le Tribunal tiendra compte même s'il a été produit tardivement [cf supra let. C]) a mis en évidence un état de stress post-traumatique et un épisode dépressif moyen sans syndrome somatique. Le praticien relève qu'il n'y a aucune contre-indication médicale pure à l'encontre d'un traitement dans le pays d'origine. Il note toutefois une insécurité majeure chez une patiente soulignant l'impossibilité de retourner au pays (pce TAF 7 p. 6 n° 5.2). Cela étant, force est de constater que les affections mises en évidence ci-dessus ne sont pas d'une intensité suffisante pour faire obstacle au transfert de la recourante en Italie. Comme déjà relevé dans l'arrêt du TAF du 27 septembre 2017, l'intéressée pourra être suivie et traitée en Italie, ce pays disposant de structures médicales similaires à celles existant en Suisse. Ainsi, elle n'a pas démontré l'existence d'un risque concret et avéré que les autorités italiennes refuseraient de la reprendre en charge et de mener à terme l'examen de sa demande de protection, en violation de la directive Procédure. Finalement, on précisera que l'argumentation de la recourante, selon laquelle, lors de son transfert en Italie par les autorités suisses en décembre 2017, son dossier médical n'avait pas été transmis aux autorités italiennes ne lui est d'aucun secours dans la présente procédure. En effet, dans le cadre de l'arrêt du 27 septembre 2017, le TAF avait relevé que l'intéressée n'avait à aucun moment allégué avoir des problèmes de santé susceptibles de s'opposer à son transfert. En outre, le SEM et le TAF avaient signalé à la recourante qu'il lui appartenait d'informer les autorités suisses de ses éventuels besoins particuliers au moment du transfert. Or, l'intéressée ne s'est aucunement manifestée sur ce point. Il n'est donc pas surprenant que le SEM n'ait pas transmis d'information d'ordre médical aux autorités italiennes lors du transfert de la recourante en Italie. Il en ira tout différemment dans le cadre de la présente procédure. Au vu de ce qui précède, les problèmes de santé de l'intéressée ne sont pas graves au point que son transfert entraînerait pour elle un risque concret et sérieux de se retrouver dans une situation équivalant à un traitement illicite, au sens de la jurisprudence précitée.</w:t>
      </w:r>
    </w:p>
    <w:p>
      <w:r>
        <w:rPr>
          <w:b/>
        </w:rPr>
        <w:t>E. 6.2.5</w:t>
      </w:r>
    </w:p>
    <w:p>
      <w:r>
        <w:t>Sur un autre plan, la recourante n'a fourni aucun moyen de preuves quant à ses allégations, ni aucun élément concret démontrant que les autorités italiennes auraient manqué à leurs obligations internationales lors du prononcé de leur décision de renvoi à son égard. Le cas échéant, il appartiendra à l'intéressée de déposer une demande de réexamen auprès des autorités italiennes. Elle n'a pas non plus apporté d'indices objectifs, concrets et sérieux qu'elle serait elle-même privée durablement de tout accès aux conditions matérielles minimales d'accueil prévues par la directive Accueil. Ces éléments ne sauraient donc faire obstacle à son transfert vers l'Italie dans le cadre d'une procédure Dublin. Au demeurant, si - après son retour en Italie - la requérante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italiennes en usant des voies de droit adéquates (cf. art. 26 directive Accueil).</w:t>
      </w:r>
    </w:p>
    <w:p>
      <w:r>
        <w:rPr>
          <w:b/>
        </w:rPr>
        <w:t>E. 6.2.6</w:t>
      </w:r>
    </w:p>
    <w:p>
      <w:r>
        <w:t>Au vu de ce qui précède et contrairement à ce que prétend la recourante,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 arrêts du TAF D-195/2019 précité et F-4001/2018 du 17 juillet 2018 consid. 5.2.2 et 5.2.3). Dans ce contexte, on rappellera que le règlement Dublin III ne confère pas aux demandeurs d'asile le droit de choisir l'Etat membre offrant, à leur avis, les meilleures conditions d'accueil comme Etat responsable de l'examen de leur demande d'asile (cf. ATAF 2010/45 consid. 8.3). Par conséquent, le transfert de la recourante n'est pas contraire aux obligations découlant de dispositions conventionnelles auxquelles la Suisse est liée.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w:t>
      </w:r>
    </w:p>
    <w:p>
      <w:r>
        <w:rPr>
          <w:b/>
        </w:rPr>
        <w:t>E. 7</w:t>
      </w:r>
    </w:p>
    <w:p>
      <w:r>
        <w:t>En rapport avec la composition du collège, il convient de tenir compte du fait que la recourante avait déjà déposé une première demande d'asile en Suisse en 2017 qui avait abouti à une décision de non entrée en matière du 1er septembre 2017 ; celle-ci avait été confirmée par arrêt F-5172/2017 du 27 septembre 2017 rendu à 3 juges. L'examen de la deuxième demande d'asile n'a pas mis en évidence d'éléments nouveaux suffisamment importants pour remettre en cause un renvoi en Italie de l'intéressée, et cela même après que le Tribunal a octroyé un délai à celle-ci pour qu'elle produise la documentation médicale annoncée. On observera que ce délai supplémentaire a été accordé à titre tout à fait gracieux, dès lors que la recourante se trouvait en Suisse pour le moins depuis le 10 janvier 2019 (pce B3/2 p. 1 ; pce TAF 1 p. 4) et avait disposé du temps nécessaire pour produire la documentation médicale idoine avant le prononcé de l'acte attaqué. Par ailleurs, comme on l'a vu, on ne saurait reprocher au SEM d'avoir violé la maxime inquisitoire in casu (cf. supra consid. 5.2). Dans ces conditions, il convient de considérer ce deuxième recours comme étant manifestement infondé. Il est donc rejeté dans une procédure à juge unique, avec l'approbation d'un second juge (art. 111 let. e LAsi). Il est dès lors renoncé à un échange d'écritures (cf. art. 111a al. 1 et 2 LAsi).</w:t>
      </w:r>
    </w:p>
    <w:p>
      <w:r>
        <w:rPr>
          <w:b/>
        </w:rPr>
        <w:t>E. 8</w:t>
      </w:r>
    </w:p>
    <w:p>
      <w:r>
        <w:t>Dans la mesure où il a été immédiatement statué sur le fond, la requête formulée dans le recours tendant à l'octroi de l'effet suspensif est sans objet.</w:t>
      </w:r>
    </w:p>
    <w:p>
      <w:r>
        <w:rPr>
          <w:b/>
        </w:rPr>
        <w:t>E. 9</w:t>
      </w:r>
    </w:p>
    <w:p>
      <w:r>
        <w:t>Les conclusions du recours étant d'emblée vouées à l'échec, la demande d'assistance judiciaire (art. 65 al. 1 PA) est rejetée. Ainsi,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