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F-1594/2024 vom 15. März 2024</w:t>
      </w:r>
    </w:p>
    <w:p>
      <w:r>
        <w:t>Bundesverwaltungsgericht, 2024-03-15, FR</w:t>
      </w:r>
    </w:p>
    <w:p>
      <w:r>
        <w:rPr>
          <w:b/>
        </w:rPr>
        <w:t xml:space="preserve">Quelle: </w:t>
      </w:r>
      <w:r>
        <w:t>https://mcp.opencaselaw.ch/entscheid/bvger_F-1594_2024</w:t>
      </w:r>
    </w:p>
    <w:p>
      <w:r>
        <w:t>FR: TAF F-1594/2024 du 15 mars 2024</w:t>
      </w:r>
    </w:p>
    <w:p>
      <w:r>
        <w:t>IT: TAF F-1594/2024 del 15 marzo 2024</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 a qualité pour recourir ; le recours, qui a été interjeté dans la forme et le délai prescrits, est recevable (art. 48 al. 1 et 52 al. 1 PA [RS 172.021], applicables par renvoi de l'art. 37 LTAF, et art. 108 al. 3 LAsi).</w:t>
      </w:r>
    </w:p>
    <w:p>
      <w:r>
        <w:rPr>
          <w:b/>
        </w:rPr>
        <w:t>E. 1.3</w:t>
      </w:r>
    </w:p>
    <w:p>
      <w:r>
        <w:t>Saisi d'un recours contre une décision de non-entrée en matière sur une demande d'asile, le Tribunal se limite à examiner le bien-fondé d'une telle décision (cf. ATAF 2017 VI/5 consid. 3.1).</w:t>
      </w:r>
    </w:p>
    <w:p>
      <w:r>
        <w:rPr>
          <w:b/>
        </w:rPr>
        <w:t>E. 2.1</w:t>
      </w:r>
    </w:p>
    <w:p>
      <w:r>
        <w:t>En l'espèce, il y a lieu de déterminer si le SEM était fondé à faire application de l'art. 31a al. 1 let. b LAsi, en vertu duquel il n'entre pas en matière sur une demande d'asile lorsque le requérant peut se rendre dans un Etat tiers compétent, en vertu d'un accord international, pour mener la procédure d'asile et de renvoi.</w:t>
      </w:r>
    </w:p>
    <w:p>
      <w:r>
        <w:rPr>
          <w:b/>
        </w:rPr>
        <w:t>E. 2.2</w:t>
      </w:r>
    </w:p>
    <w:p>
      <w:r>
        <w:t>Aux termes de l'art. 3 par. 1 du règlement Dublin III, une demande de protection internationale est examinée par un seul Etat membre, celui-ci étant déterminé selon les critères fixés à son chapitre III. Dans une procédure de reprise en charge, tel qu'en l'espèce, il n'y a en principe aucun nouvel examen de la compétence selon ledit chapitre (cf. ATAF 2017 VI/5 consid. 6.2 et 8.2.1 et réf. cit.).</w:t>
      </w:r>
    </w:p>
    <w:p>
      <w:r>
        <w:rPr>
          <w:b/>
        </w:rPr>
        <w:t>E. 2.3</w:t>
      </w:r>
    </w:p>
    <w:p>
      <w:r>
        <w:t>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du Règlement Dublin III).</w:t>
      </w:r>
    </w:p>
    <w:p>
      <w:r>
        <w:rPr>
          <w:b/>
        </w:rPr>
        <w:t>E. 2.4</w:t>
      </w:r>
    </w:p>
    <w:p>
      <w:r>
        <w:t>En l'occurrence, à la suite de la requête soumise par le SEM dans le délai prévu à l'art. 23 par. 2 du règlement Dublin III (cf. let. C supra), les autorités allemandes compétentes ont expressément accepté de reprendre en charge l'intéressé dans le délai fixé à l'art. 25 par. 1 de ce même règlement. Ainsi, l'Allemagne a reconnu sa compétence pour traiter la demande d'asile du recourant.</w:t>
      </w:r>
    </w:p>
    <w:p>
      <w:r>
        <w:rPr>
          <w:b/>
        </w:rPr>
        <w:t>E. 3.1</w:t>
      </w:r>
    </w:p>
    <w:p>
      <w:r>
        <w:t>Il n'y a en outre aucune raison sérieuse de penser qu'il existe, en Allemagne, des défaillances systémiques dans la procédure d'asile et dans les conditions d'accueil des demandeurs d'asile, qui entraînent un risque de traitement inhumain ou dégradant au sens de l'art. 4 de la Charte des droits fondamentaux de l'Union européenne (JO C 364/1 du 18.12.2000 ; art. 3 par. 2 al. 2 du règlement Dublin III).</w:t>
      </w:r>
    </w:p>
    <w:p>
      <w:r>
        <w:rPr>
          <w:b/>
        </w:rPr>
        <w:t>E. 3.2</w:t>
      </w:r>
    </w:p>
    <w:p>
      <w:r>
        <w:t>En effet, ce pays est lié par cette charte et, de surcroît, partie à la Convention du 28 juillet 1951 relative au statut de réfugiés (Conv. Réfugiés ; RS 0.142.30) ainsi qu'au Protocole additionnel du 31 janvier 1967 (RS 0.142.301), à la Convention du 4 novembre 1950 de sauvegarde des droits de l'homme et des libertés fondamentales (CEDH ; RS 0.101) et à la Convention du 10 décembre 1984 contre la torture et autres peines ou traitements cruels, inhumains ou dégradants (Conv. torture ; RS 0.105) et, à ce titre, en applique les dispositions.</w:t>
      </w:r>
    </w:p>
    <w:p>
      <w:r>
        <w:rPr>
          <w:b/>
        </w:rPr>
        <w:t>E. 3.3</w:t>
      </w:r>
    </w:p>
    <w:p>
      <w:r>
        <w:t>Partant, l'Allemagne est présumée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 directive n° 2013/33/UE du Parlement européen et du Conseil du 26 juin 2013 établissant des normes pour l'accueil des personnes demandant la protection internationale [ci-après : directive Accueil]).</w:t>
      </w:r>
    </w:p>
    <w:p>
      <w:r>
        <w:rPr>
          <w:b/>
        </w:rPr>
        <w:t>E. 3.4</w:t>
      </w:r>
    </w:p>
    <w:p>
      <w:r>
        <w:t>Par voie de conséquence, l'application de l'art. 3 par. 2 al. 2 du règlement Dublin III ne saurait trouver application en l'espèce.</w:t>
      </w:r>
    </w:p>
    <w:p>
      <w:r>
        <w:rPr>
          <w:b/>
        </w:rPr>
        <w:t>E. 4</w:t>
      </w:r>
    </w:p>
    <w:p>
      <w:r>
        <w:t>Pour s'opposer à son transfert, l'intéressé sollicite implicitement l'application de la clause discrétionnaire prévue à l'art. 17 par. 1 du règlement Dublin III (clause de souveraineté). A cet égard, il invoque son état de santé précaire, les menaces qui pèseraient sur lui en Allemagne, le risque « d'être renvoyé en prison » en Allemagne et enfin son souhait de rester en Suisse avec son cousin, également requérant d'asile.</w:t>
      </w:r>
    </w:p>
    <w:p>
      <w:r>
        <w:rPr>
          <w:b/>
        </w:rPr>
        <w:t>E. 4.1</w:t>
      </w:r>
    </w:p>
    <w:p>
      <w:r>
        <w:t>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2017 VI/5 consid. 8.5.2).</w:t>
      </w:r>
    </w:p>
    <w:p>
      <w:r>
        <w:rPr>
          <w:b/>
        </w:rPr>
        <w:t>E. 4.2</w:t>
      </w:r>
    </w:p>
    <w:p>
      <w:r>
        <w:t>S'agissant tout d'abord des affections médicales invoquées par le recourant, force est de rappeler que le retour forcé d'une personne touchée dans sa santé n'est, selon la jurisprudence de la Cour EDH (cf. arrêt Paposhvili c. Belgique [GC] du 13 décembre 2016, requête n° 41738/10 et arrêt Savran c. Danemark [GC] du 7 décembre 2021, requête n° 57467/15 par. 122 à 139),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arrêts de la Cour EDH précités ; ATAF 2017 VI/7 consid. 6.2 et jurisp. cit.). En l'occurrence, il ressort des documents médicaux que le statut cardio-pulmonaire du recourant est considéré comme normal et que ce dernier n'a aucune plainte au niveau respiratoire. Une insuffisance cardiaque ayant toutefois été diagnostiquée le 12 mars 2024, des médicaments pour lutter contre l'hypertension artérielle (Torasémide) et la thrombose artérielle (Aspirine cardio) ont été prescrits. Quant aux douleurs aux jambes, il a été préconisé une surveillance régulière du poids de l'intéressé ainsi que de son oedème aux membres inférieures. En outre, bien que le recourant soutienne avoir reçu une balle au niveau du genou il y a une quinzaine d'années et que la radiographie effectuée présente du matériel-radio opaque au rayon X, cette blessure a été considérée comme non douloureuse et sans nécessité de prise en charge. L'intéressé a par ailleurs été reconnu comme dépendant à la méthadone et un programme de substitution a été mis en place avec prescription de quétiapine. Pour le surplus, les allégations de malaises et de problèmes psychiques ne sont étayées par aucune pièce médicale. Au vu de ce qui précède, il sied de constater que les problèmes qui affectent la santé du recourant sans vouloir les minimiser ne sont pas d'une gravité telle, qu'ils permettraient compte tenu de la jurisprudence restrictive en la matière de conclure qu'il ne serait pas apte à voyager ou que son transfert vers l'Allemagne l'exposerait à un danger réel pour sa vie, respectivement sa santé (cf., à ce sujet, Cour EDH précités Paposhvili c. Belgique, par. 183 et Savran c. Danemark, par. 133). La situation du recourant, telle qu'elle ressort des documents médicaux produits, n'est pas révélatrice d'une maladie d'une gravité ou d'une spécificité telle qu'elle ne pourrait pas être traitée en Allemagne. A cet égard, le Tribunal considère les différents traitements commencés pour réguler l'hypertension artérielle ainsi que la dépendance à la méthadone du recourant pourront, si nécessaire, avoir lieu dans ce pays. En tout état de cause, l'Allemagne, qui est liée par la directive Accueil et qui dispose à l'évidence de structures médicales comparables à la Suisse,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Ainsi, l'état de santé du recourant n'est pas de nature à faire obstacle à un transfert vers l'Allemagne. Néanmoins, les autorités chargées de l'exécution du transfert sont invitées à informer à l'avance, de manière appropriée, les autorités de l'Etat d'accueil sur les affections médicales dont souffre le recourant.</w:t>
      </w:r>
    </w:p>
    <w:p>
      <w:r>
        <w:rPr>
          <w:b/>
        </w:rPr>
        <w:t>E. 4.3</w:t>
      </w:r>
    </w:p>
    <w:p>
      <w:r>
        <w:t>Quant aux menaces évoquées par l'intéressé, outre le fait que ses allégations y relatives ne sont nullement étayées par des éléments concrets, le Tribunal relève que l'Allemagne est un Etat de droit et que rien ne laisse à penser que les autorités compétentes ne lui offriraient pas une protection adéquate et efficace, au cas où il en ferait la demande. L'intéressé pourra donc sans autre s'adresser, une fois arrivé dans ce pays, aux autorités policières ou judiciaires allemandes en cas de besoin.</w:t>
      </w:r>
    </w:p>
    <w:p>
      <w:r>
        <w:rPr>
          <w:b/>
        </w:rPr>
        <w:t>E. 4.4</w:t>
      </w:r>
    </w:p>
    <w:p>
      <w:r>
        <w:t>Enfin, aucun élément ne permet d'admettre qu'une fois son transfert en Allemagne exécuté, le recourant serait durablement privé de soutien et des structures offertes par ce pays aux demandeurs d'asile ou qu'en cas de difficultés, les autorités allemandes ne réagiraient pas de manière appropriée et manqueraient de dûment tenir compte de sa situation personnelle. En tant que l'intéressé prétend risquer de devoir faire encore neuf mois de prison en Allemagne pour vol, le Tribunal observe qu'il s'agit de simples allégations, peu précises et nullement étayées. Au demeurant, comme l'a relevé à juste titre le SEM dans la décision attaquée, l'Allemagne est libre de placer en détention des personnes ayant commis des délits ou crimes sur son territoire, conformément au droit national et au droit international en vigueur. Au surplus, le recourant n'a pas démontré ni même allégué que ses conditions d'existence en Allemagne revêtiraient un tel degré de pénibilité et de gravité qu'elles seraient constitutives d'un traitement contraire à l'art. 3 CEDH ou 3 Conv. torture. Il n'a pas non plus apporté d'indices objectifs, concrets et sérieux qu'il serait privé durablement de tout accès à des conditions matérielles minimales d'accueil prévues par la directive Accueil et qu'il ne pourrait pas bénéficier de l'aide dont il pourrait avoir besoin pour faire valoir ses droits.</w:t>
      </w:r>
    </w:p>
    <w:p>
      <w:r>
        <w:rPr>
          <w:b/>
        </w:rPr>
        <w:t>E. 4.5</w:t>
      </w:r>
    </w:p>
    <w:p>
      <w:r>
        <w:t>Il sied à cet égard de rappeler que le règlement Dublin III ne confère pas aux demandeurs d'asile le droit de choisir l'Etat membre offrant, à leur avis, les meilleures conditions d'accueil comme Etat responsable de l'examen de leur demande d'asile (cf. ATAF 2017 VI/5 consid. 8.2.1 ;2010/45 consid. 8.3 ; dans ce sens, arrêt de la Cour de justice de l'Union européenne [CJUE] du 10 décembre 2013, C-394/12 Shamso Abdullahi c. Autriche [Grande Chambre], § 59 et § 62).</w:t>
      </w:r>
    </w:p>
    <w:p>
      <w:r>
        <w:rPr>
          <w:b/>
        </w:rPr>
        <w:t>E. 4.6</w:t>
      </w:r>
    </w:p>
    <w:p>
      <w:r>
        <w:t>Finalement, le transfert du recourant vers l'Allemagne n'est pas susceptible de porter atteinte à l'art. 8 CEDH, disposition qui protège la vie familiale. En effet, il ne ressort pas du dossier de la cause - et l'intéressé ne le prétend d'ailleurs pas - qu'un lien de dépendance particulier (cf. ATF 139 II 393 consid. 5.1) l'unirait au membre de sa famille non-nucléaire présent en Suisse, soit son cousin en l'espèce. C'est ici le lieu de rappeler que les cousins ne sont pas des « membres de la famille » au sens du règlement Dublin III, et en particulier de son art. 10 (cf. art. 2 let. g du règlement Dublin III).</w:t>
      </w:r>
    </w:p>
    <w:p>
      <w:r>
        <w:rPr>
          <w:b/>
        </w:rPr>
        <w:t>E. 5</w:t>
      </w:r>
    </w:p>
    <w:p>
      <w:r>
        <w:t>Au vu de ce qui précède, c'est à juste titre que le SEM n'est pas entré en matière sur la demande d'asile de l'intéressé, en application de l'art. 31a al. 1 let. b LAsi, et a prononcé son transfert de la Suisse vers l'Allemagne, en application de l'art. 44 LAsi, aucune exception à la règle générale du renvoi n'étant réalisée (art. 32 OA 1). Par conséquent, le recours doit être rejeté.</w:t>
      </w:r>
    </w:p>
    <w:p>
      <w:r>
        <w:rPr>
          <w:b/>
        </w:rPr>
        <w:t>E. 6.1</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6.2</w:t>
      </w:r>
    </w:p>
    <w:p>
      <w:r>
        <w:t>Dans la mesure où il a été immédiatement statué sur le fond, les requêtes formulées dans le recours tendant à l'octroi de l'effet suspensif et à la dispense du versement d'une avance de frais sont sans objet.</w:t>
      </w:r>
    </w:p>
    <w:p>
      <w:r>
        <w:rPr>
          <w:b/>
        </w:rPr>
        <w:t>E. 7.1</w:t>
      </w:r>
    </w:p>
    <w:p>
      <w:r>
        <w:t>Par ailleurs, les conclusions du recours étant d'emblée vouées à l'échec, la demande d'assistance judiciaire totale est rejetée.</w:t>
      </w:r>
    </w:p>
    <w:p>
      <w:r>
        <w:rPr>
          <w:b/>
        </w:rPr>
        <w:t>E. 7.2</w:t>
      </w:r>
    </w:p>
    <w:p>
      <w:r>
        <w:t>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