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F-1584/2022 vom 12. April 2022</w:t>
      </w:r>
    </w:p>
    <w:p>
      <w:r>
        <w:t>Bundesverwaltungsgericht, 2022-04-12, DE</w:t>
      </w:r>
    </w:p>
    <w:p>
      <w:r>
        <w:rPr>
          <w:b/>
        </w:rPr>
        <w:t xml:space="preserve">Quelle: </w:t>
      </w:r>
      <w:r>
        <w:t>https://mcp.opencaselaw.ch/entscheid/bvger_F-1584_2022</w:t>
      </w:r>
    </w:p>
    <w:p>
      <w:r>
        <w:t>FR: TAF F-1584/2022 du 12 avril 2022</w:t>
      </w:r>
    </w:p>
    <w:p>
      <w:r>
        <w:t>IT: TAF F-1584/2022 del 12 aprile 2022</w:t>
      </w:r>
    </w:p>
    <w:p>
      <w:pPr>
        <w:pStyle w:val="Heading2"/>
      </w:pPr>
      <w:r>
        <w:t>Regeste</w:t>
      </w:r>
    </w:p>
    <w:p>
      <w:r>
        <w:t>Nichteintreten auf Asylgesuch und Wegweisung (Dublin-Verfahren)</w:t>
      </w:r>
    </w:p>
    <w:p>
      <w:pPr>
        <w:pStyle w:val="Heading2"/>
      </w:pPr>
      <w:r>
        <w:t>Erwägungen</w:t>
      </w:r>
    </w:p>
    <w:p>
      <w:r>
        <w:rPr>
          <w:b/>
        </w:rPr>
        <w:t>E. 1.1</w:t>
      </w:r>
    </w:p>
    <w:p>
      <w:r>
        <w:t>Gemäss Art. 105 AsylG [SR 142.31] i.V.m. Art. 31 VGG ist das Bundes- verwaltungsgericht zur Beurteilung von Beschwerden auf dem Gebiet des Asyls zuständig und entscheidet über diese in der Regel – wie auch vorlie- gend – endgültig (vgl. Art. 83 Bst. d Ziff. 1 BGG). Die Beschwerdeführer sind zur Beschwerdeführung legitimiert (Art. 48 Abs. 1 VwVG). Auf die frist- und formgerecht eingereichte Beschwerde ist einzutreten (Art. 108 Abs. 3 AsylG und Art. 52 Abs. 1 VwVG).</w:t>
      </w:r>
    </w:p>
    <w:p>
      <w:r>
        <w:t>F-1584/2022 Seite 4</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3.1</w:t>
      </w:r>
    </w:p>
    <w:p>
      <w:r>
        <w:t>Die Beschwerdeführer rügen eine Verletzung des rechtlichen Gehörs, da die Vorinstanz ihnen die angeblichen Widersprüche betreffend Zeitpunkt der Rückreise in die Türkei nicht vorgehalten habe. Zudem sei die Begrün- dungspflicht verletzt, da sie die Schwere der erlittenen Folter und die Wich- tigkeit der Nähe der Brüder in der Schweiz nicht gewürdigt habe.</w:t>
      </w:r>
    </w:p>
    <w:p>
      <w:r>
        <w:rPr>
          <w:b/>
        </w:rPr>
        <w:t>E. 3.1.1</w:t>
      </w:r>
    </w:p>
    <w:p>
      <w:r>
        <w:t>Der Anspruch auf rechtliches Gehör nach Art. 29 Abs. 2 BV umfasst alle Befugnisse, die einer Partei einzuräumen sind, damit sie in einem Ver- fahren ihren Standpunkt wirksam zur Geltung bringen kann (BGE 144 II 427 E. 3.1). Dazu gehört das Recht, sich vor Erlass eines in ihre Rechts- stellung eingreifenden Entscheids zur Sache äussern zu können (Art. 30 Abs. 1 VwVG), sowie der Anspruch, dass die Behörde, bevor sie verfügt, alle erheblichen und rechtzeitigen Vorbringen der Parteien tatsächlich hört, ernsthaft prüft und in ihrer Entscheidfindung angemessen berücksichtigt (Art. 32 Abs. 1 VwVG). Daraus fliesst die Pflicht der Behörde, ihren Ent- scheid ausreichend und nachvollziehbar zu begründen (BGE 145 IV 99 E. 3.1; Art. 35 Abs. 1 VwVG). Die Begründung muss so abgefasst sein, dass der Betroffene den Entscheid in voller Kenntnis der Sache an die höhere Instanz weiterziehen kann. Nicht erforderlich ist, dass sich die Behörde mit allen Parteistandpunkten einlässlich auseinandersetzt und jedes einzelne Vorbringen ausdrücklich widerlegt (BGE 143 III 65 E. 5.2).</w:t>
      </w:r>
    </w:p>
    <w:p>
      <w:r>
        <w:rPr>
          <w:b/>
        </w:rPr>
        <w:t>E. 3.1.2</w:t>
      </w:r>
    </w:p>
    <w:p>
      <w:r>
        <w:t>An der Personalienaufnahme vom 4. Januar 2022 machte die Vor- instanz den Beschwerdeführer 1 korrekterweise auf einen Widerspruch zwischen seinen Aussagen aufmerksam und wiederholte die Frage. Eine</w:t>
      </w:r>
    </w:p>
    <w:p>
      <w:r>
        <w:t>F-1584/2022 Seite 5 vertiefte Prüfung und Abgleichung der Aussagen der Beschwerdeführer 1 und 2 anlässlich des Dublin-Gesprächs sowie eine nochmalige Durchfüh- rung einer Befragung zwecks Konfrontation mit Widersprüchen zwischen ihren Angaben ist aber angesichts des beschleunigten Charakters des Dublin-Verfahrens nicht angezeigt. Hinzu kommt, dass die Vorinstanz die Unglaubhaftigkeit der Rückkehr in die Türkei nicht mit unterschiedlichen Zeitangaben begründet hat. Des Weiteren ist die Vorinstanz in der Verfü- gung im Rahmen der Prüfung eines allfälligen Selbsteintritts auf die Fol- tererlebnisse der Beschwerdeführer sowie auf ihre Beziehung zu den in der Schweiz lebenden Verwandten eingegangen. Es liegt somit keine Ver- letzung des rechtlichen Gehörs und der Begründungspflicht vor.</w:t>
      </w:r>
    </w:p>
    <w:p>
      <w:r>
        <w:rPr>
          <w:b/>
        </w:rPr>
        <w:t>E. 3.2</w:t>
      </w:r>
    </w:p>
    <w:p>
      <w:r>
        <w:t>Die Beschwerdeführer monieren, der Sachverhalt sei ungenügend ab- geklärt, da die Vorinstanz die italienischen Behörden nicht über die Folter, ihre Verwandten in der Schweiz sowie die zwingend benötigte spezielle Behandlung und Betreuung aufgrund der Folter und der Minderjährigkeit des Beschwerdeführers 2 informiert habe.</w:t>
      </w:r>
    </w:p>
    <w:p>
      <w:r>
        <w:rPr>
          <w:b/>
        </w:rPr>
        <w:t>E. 3.2.1</w:t>
      </w:r>
    </w:p>
    <w:p>
      <w:r>
        <w:t>Die unvollständige Feststellung des rechtserheblichen Sachverhalts kann nach Art. 49 Bst. b VwVG gerügt werden. Unvollständig ist die Sach- verhaltsfeststellung, wenn die Behörde trotz des geltenden Untersu- chungsgrundsatzes (Art. 12 VwVG) den Sachverhalt nicht von Amtes we- gen abgeklärt, oder nicht alle für den Entscheid wesentlichen Sachum- stände berücksichtigt hat (vgl. BENJAMIN SCHINDLER, in: Kommentar zum VwVG, 2. Aufl. 2019, Art. 49 N. 29).</w:t>
      </w:r>
    </w:p>
    <w:p>
      <w:r>
        <w:rPr>
          <w:b/>
        </w:rPr>
        <w:t>E. 3.2.2</w:t>
      </w:r>
    </w:p>
    <w:p>
      <w:r>
        <w:t>Aus den Akten ergibt sich kein Hinweis darauf, dass die Beschwer- deführer wegen des Alters oder der erlebten Folter nach ihrer Rückkehr nach Italien auf eine spezielle Behandlung und Betreuung angewiesen wä- ren. Der Sachverhalt wurde somit rechtsgenüglich abgeklärt.</w:t>
      </w:r>
    </w:p>
    <w:p>
      <w:r>
        <w:rPr>
          <w:b/>
        </w:rPr>
        <w:t>E. 3.2.3</w:t>
      </w:r>
    </w:p>
    <w:p>
      <w:r>
        <w:t>Allfällige Informationspflichten gegenüber den italienischen Behör- den betreffen nicht die Sachverhaltsabklärung, sondern die Verfahrensfüh- rung. Die Vorinstanz hat keine Verpflichtung, die italienischen Behörden anlässlich des Übernahmeersuchens über Verwandte der Beschwerdefüh- rer in der Schweiz zu informieren. Da die Beschwerdeführer keine vul- nerablen Personen sind (sie haben keine schweren gesundheitlichen Prob- leme; der Beschwerdeführer 2 ist (…) Jahre alt und steht kurz vor der Voll- jährigkeit) war sie auch nicht gehalten, Italien über ein allfälliges Betreu- ungsbedürfnis zu informieren.</w:t>
      </w:r>
    </w:p>
    <w:p>
      <w:r>
        <w:t>F-1584/2022 Seite 6</w:t>
      </w:r>
    </w:p>
    <w:p>
      <w:r>
        <w:rPr>
          <w:b/>
        </w:rPr>
        <w:t>E. 3.3</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der Vor- instanz innert der in Art. 22 Abs. 1 Dublin-III-VO vorgesehenen Frist unbe- antwortet, womit sie die Zuständigkeit Italiens implizit anerkannten (Art. 22 Abs. 7 Dublin-III-VO). Die Beschwerdeführer bringen vor, sie seien von Ita- lien in die Türkei zurückgereist, womit sie den Dublin-Raum verlassen hät- ten und Italien nicht mehr zuständig für ihr Asylverfahren sei. Anlässlich des Dublin-Gesprächs bezeichneten die Beschwerdeführer die Schweiz als ihr Zielland. Es ist daher nicht nachvollziehbar, weshalb sie von Italien in die Türkei hätten zurückkehren sollen, nur um dann gleich wieder in die Schweiz zu reisen. Zudem reichten sie keinerlei Belege für die Rückkehr in die Türkei ein. Die Vorinstanz informierte die italienischen Behörden über die angebliche Rückkehr in die Türkei. Dennoch stimmte Italien dem Über- nahmeersuchen implizit zu. Zusammenfassend ist die geltend gemachte Rückkehr in die Türkei als unglaubhaft einzustufen. Die Zuständigkeit Itali- ens ist somit grundsätzlich gegeben. Die in diesem Zusammenhang erho- bene Rüge der Verletzung des Willkürverbots durch die Vorinstanz ist folg- lich unbegründet.</w:t>
      </w:r>
    </w:p>
    <w:p>
      <w:r>
        <w:t>F-1584/2022 Seite 7</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w:t>
      </w:r>
    </w:p>
    <w:p>
      <w:r>
        <w:t>Italien ist Signatarstaat der EMRK, des Übereinkommens vom 10. Dezem- ber 1984 gegen Folter und andere grausame, unmenschliche oder ernied- rigende Behandlung oder Strafe (FoK, SR 0.105) und des Abkommens vom 28. Juli 1951 über die Rechtsstellung der Flüchtlinge (FK, SR 0.142.30) sowie des Zusatzprotokolls der FK vom 31. Januar 1967 (SR 0.142.301) und kommt seinen entsprechenden völkerrechtlichen Ver- pflichtungen kommt. Es darf davon ausgegangen werden, dass dieser Staat die Rechte, die sich für Schutzsuchende aus den Richtlinien des Eu- ropäischen Parlaments und des Rates 2013/32/EU vom 26. Juni 2013 zu gemeinsamen Verfahren für die Zuerkennung und Aberkennung des inter- nationalen Schutzes (sog. Verfahrensrichtlinie) sowie 2013/33/EU vom 26. Juni 2013 zur Festlegung von Normen für die Aufnahme von Personen, die</w:t>
      </w:r>
    </w:p>
    <w:p>
      <w:r>
        <w:t>F-1584/2022 Seite 8 internationalen Schutz beantragen (sog. Aufnahmerichtlinie) ergeben, an- erkennt und schützt. Das italienische Asylverfahren und Aufnahmesystem weisen demnach keine systemischen Mängel auf (Urteil des EGMR S.M.H. gegen die Niederlande vom 17. Mai 2016, Nr. 5868/13, Ziff. 46; Referenz- urteil des BVGer F-6330/2020 vom 18. Oktober 2021 E. 9.1; Referenzurteil des BVGer E-962/2019 vom 17. Dezember 2019 E. 6.3). Die Beschwerde- führer bringen nichts vor, das Anlass zur Änderung der Rechtsprechung geben könnte. Eine Anwendung von Art. 3 Abs. 2 Dublin-III-VO ist daher nicht gerechtfertigt.</w:t>
      </w:r>
    </w:p>
    <w:p>
      <w:r>
        <w:rPr>
          <w:b/>
        </w:rPr>
        <w:t>E. 6</w:t>
      </w:r>
    </w:p>
    <w:p>
      <w:r>
        <w:t>Der Beschwerdeführer 1 hat in Syrien Folter erlebt. Gewisse Narben sind noch nicht gänzlich verheilt. Der Beschwerdeführer 2 wurde nach eigenen Angaben gezwungen, den Koran mit der rechten Hand umzublättern. Im Dublin-Gespräch erklärten indessen beide, gesund zu sein. Der Beschwer- deführer 2 gab ergänzend an, er stehe unter psychischem Druck. Er suchte jedoch keinen Arzt auf. Es ist daher nicht davon auszugehen, dass sie eine medizinische Behandlung benötigen würden. Im Übrigen ist darauf hinzu- weisen, dass Italien grundsätzlich über eine ausreichende medizinische Infrastruktur verfügt (Urteile des BVGer F-1479/2021 vom 13. April 2021 E. 8.5; D-2846/2020 vom 16. Juli 2020 E. 6.2.1). Der Zugang für asylsu- chende Personen zum italienischen Gesundheitssystem über die Notver- sorgung hinaus ist derzeit grundsätzlich gewährleistet, auch wenn es in der Praxis zu zeitlichen Verzögerungen kommen kann (Urteil E-962/2019 E. 6.2.7). Es liegen keine Hinweise vor, wonach den Beschwerdeführern dort eine allenfalls nötige, adäquate medizinische Behandlung verweigert würde. Folglich droht keine Verletzung von Art. 3 EMRK, weshalb die Schweiz nicht zum Selbsteintritt nach Art. 17 Abs. 1 Dublin-III-VO verpflich- tet ist; auch humanitäre Gründe i.S.v. Art. 29a Abs. 3 AsylV 1 liegen nicht vor.</w:t>
      </w:r>
    </w:p>
    <w:p>
      <w:r>
        <w:rPr>
          <w:b/>
        </w:rPr>
        <w:t>E. 7.1</w:t>
      </w:r>
    </w:p>
    <w:p>
      <w:r>
        <w:t>Die Beschwerdeführer machen geltend, zwei Brüder beziehungsweise Onkel sowie Neffen beziehungsweise Cousins lebten in der Schweiz. Die Verwandten könnten sie bei der Bewältigung der traumatisierenden Erleb- nisse unterstützen.</w:t>
      </w:r>
    </w:p>
    <w:p>
      <w:r>
        <w:rPr>
          <w:b/>
        </w:rPr>
        <w:t>E. 7.2</w:t>
      </w:r>
    </w:p>
    <w:p>
      <w:r>
        <w:t>Art. 16 Abs. 1 Dublin-III-VO setzt voraus, dass zwischen dem Antrag- steller und seinen Kindern, Geschwistern oder Elternteilen ein Abhängig- keitsverhältnis wegen schwerer Krankheit, ernsthafter Behinderung oder</w:t>
      </w:r>
    </w:p>
    <w:p>
      <w:r>
        <w:t>F-1584/2022 Seite 9 hohen Alters besteht. Soweit sich die Beschwerdeführer auf ein Abhängig- keitsverhältnis zu ihren Neffen beziehungsweise Cousins und Onkel (Be- schwerdeführer 2) berufen, ist darauf hinzuweisen, dass diese Verwandt- schaftsverhältnisse nicht von Art. 16 Abs. 1 Dublin-III-VO erfasst sind. Der Beschwerdeführer 1 hat weder im Dublin-Gespräch noch in der Be- schwerde dargetan, dass zwischen ihm und seinen Brüdern ein Abhängig- keitsverhältnis im erwähnten Sinn besteht. Die Anwendung von Art. 16 Abs. 1 Dublin-III-VO ist daher zu verneinen.</w:t>
      </w:r>
    </w:p>
    <w:p>
      <w:r>
        <w:rPr>
          <w:b/>
        </w:rPr>
        <w:t>E. 8</w:t>
      </w:r>
    </w:p>
    <w:p>
      <w:r>
        <w:t>Nach dem Gesagten ist die Beschwerde abzuweisen. Mit dem vorliegen- den Urteil fällt der am 6. April 2022 angeordnete Vollzugsstopp dahin. Das Gesuch um Erteilung der aufschiebenden Wirkung ist gegenstandslos ge- worden.</w:t>
      </w:r>
    </w:p>
    <w:p>
      <w:r>
        <w:rPr>
          <w:b/>
        </w:rPr>
        <w:t>E. 9.1</w:t>
      </w:r>
    </w:p>
    <w:p>
      <w:r>
        <w:t>Die Begehren erweisen sich als aussichtslos, weshalb das Gesuch um Gewährung der unentgeltlichen Prozessführung ungeachtet einer allfälli- gen prozessualen Bedürftigkeit abzuweisen ist (Art. 65 Abs. 1 VwVG).</w:t>
      </w:r>
    </w:p>
    <w:p>
      <w:r>
        <w:rPr>
          <w:b/>
        </w:rPr>
        <w:t>E. 9.2</w:t>
      </w:r>
    </w:p>
    <w:p>
      <w:r>
        <w:t>Bei diesem Ausgang des Verfahrens sind die Kosten den Beschwerde- führern aufzuerlegen (Art. 63 Abs. 1 VwVG) und auf insgesamt Fr. 750.– festzusetzen (Art. 1–3 des Reglements vom 21. Februar 2008 über die Kosten und Entschädigungen vor dem Bundesverwaltungsgericht [VGKE, SR 173.320.2]). (Dispositiv nächste Seite)</w:t>
      </w:r>
    </w:p>
    <w:p>
      <w:r>
        <w:t>F-1584/2022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