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F-1579/2021 vom 13. Dezember 2021</w:t>
      </w:r>
    </w:p>
    <w:p>
      <w:r>
        <w:t>Bundesverwaltungsgericht, 2021-12-13, FR</w:t>
      </w:r>
    </w:p>
    <w:p>
      <w:r>
        <w:rPr>
          <w:b/>
        </w:rPr>
        <w:t xml:space="preserve">Quelle: </w:t>
      </w:r>
      <w:r>
        <w:t>https://mcp.opencaselaw.ch/entscheid/bvger_F-1579_2021</w:t>
      </w:r>
    </w:p>
    <w:p>
      <w:r>
        <w:t>FR: TAF F-1579/2021 du 13 décembre 2021</w:t>
      </w:r>
    </w:p>
    <w:p>
      <w:r>
        <w:t>IT: TAF F-1579/2021 del 13 dicembre 2021</w:t>
      </w:r>
    </w:p>
    <w:p>
      <w:pPr>
        <w:pStyle w:val="Heading2"/>
      </w:pPr>
      <w:r>
        <w:t>Regeste</w:t>
      </w:r>
    </w:p>
    <w:p>
      <w:r>
        <w:t>Assistance administrative</w:t>
      </w:r>
    </w:p>
    <w:p>
      <w:pPr>
        <w:pStyle w:val="Heading2"/>
      </w:pPr>
      <w:r>
        <w:t>Erwägungen</w:t>
      </w:r>
    </w:p>
    <w:p>
      <w:r>
        <w:rPr>
          <w:b/>
        </w:rPr>
        <w:t>E. 5</w:t>
      </w:r>
    </w:p>
    <w:p>
      <w:r>
        <w:t>Pour ce qui est des conditions de fond, le recourant invoque l'inapplicabilité de la CDI CH-FR et une violation du principe de la pertinence vraisemblable dans son recours du 31 mars 2021.</w:t>
      </w:r>
    </w:p>
    <w:p>
      <w:r>
        <w:rPr>
          <w:b/>
        </w:rPr>
        <w:t>E. 5.1</w:t>
      </w:r>
    </w:p>
    <w:p>
      <w:r>
        <w:t>Le recourant argue n'être plus résident en France depuis 2009 et être résident suisse dès 2009, puis de la Belgique dès la moitié de l'année 2013 (cf. act. 1 TAF, pièce 2, annexes 1 à 15). Par voie de conséquence, l'intéressé ferait partie de la marge d'erreur de 3% avancée par l'AFC concernant la présomption de la fiabilité du code de domicile des environ 45'000 titulaires anonymes de comptes pour la liste A. Le critère de la pertinence vraisemblable des art. 28 par. 1 CDI CH-FR et art. 7 lit. a LAAF ne serait pas donné. La CDI CH-FR ne serait donc pas applicable.</w:t>
      </w:r>
    </w:p>
    <w:p>
      <w:r>
        <w:rPr>
          <w:b/>
        </w:rPr>
        <w:t>E. 5.2</w:t>
      </w:r>
    </w:p>
    <w:p>
      <w:r>
        <w:t>Le recourant estime plus précisément que l'entraide fiscale fondée sur l'art. 1 CDI CH-FR ne devrait pas être octroyée, la Convention dans son entier étant inapplicable en l'absence de résidence du recourant en France. A cet égard, la jurisprudence a cependant clairement établi qu'au stade de l'assistance administrative, la question de la résidence de la personne concernée par la procédure d'entraide n'a pas à être tranchée par l'Etat requis (cf. ATF 142 II 161 consid. 2.2.2 in fine, 142 II 218 consid. 3.6; arrêt du TAF A-907/2017 du 14 novembre 2017 consid. 2.4). L'assistance administrative en matière fiscale ne dépend pas du domicile de la personne concernée. Au contraire, la probabilité que la personne concernée soit soumise à une obligation fiscale limitée ou illimitée dans l'État requérant pendant la période concernée suffit (voir arrêt du TAF A-6290/2017 du 12 octobre 2018 consid. 4.3.2 [décision confirmée par arrêt du TF 2C_999/2018 du 14 novembre 2018]. En effet, l'Etat requérant doit pouvoir obtenir de l'Etat requis des documents lui permettant de consolider sa position s'il considère qu'un contribuable assujetti dans l'Etat requis (ou dans un Etat tiers, pour autant qu'il y ait un rattachement économique avec l'un des Etats contractants) a en réalité sa résidence fiscale chez lui, par exemple parce qu'il y a conservé son foyer d'habitation permanent ou que l'on est en présence d'autres points de rattachement fiscalement déterminants (cf. ATF 142 II 161 consid. 2.2.2, arrêt du TAF A-4977/2016 du 13 février 2018 consid. 3.3.6). De surcroît, la détermination de la résidence fiscale au plan international est une question de fond qui n'a, pour ce motif également, pas à être abordée par la Suisse en tant qu'Etat requis au stade de l'assistance administrative (ATF 142 II 218 consid. 3.6 et ATF 142 II 161 consid. 2.2.2 in fine ; arrêt du TAF A-907/2017 du 14 novembre 2017 consid. 2.4). Le cas échéant, la double imposition internationale sera évitée par le jeu des règles de détermination de la résidence fiscale internationale prévues dans la convention applicable (cf. art. 4 MC OCDE) ou par le recours à la procédure amiable (cf. art. 26 MC OCDE). Une telle question n'intéresse pas la Suisse dans le contexte de la procédure d'assistance administrative. Elle n'aurait du reste ni les moyens matériels ni la compétence formelle pour la trancher (cf. supra consid. 2.9). Dans ces circonstances, l'éventuelle existence d'une résidence fiscale dans un autre Etat que l'Etat requérant n'a ne permet pas de remettre en question la bonne foi de ce dernier laquelle reste donc présumée. Il y a également lieu de préciser qu'il ne s'agit pas non plus d'un élément qui rendrait la demande d'assistance administrative manifestement erronée ou incomplète (ATF 142 II 218 consid. 3.7 ; cf. aussi arrêt du TAF A-6589/2016 du 6 mars 2018 consid. 4.7.4).</w:t>
      </w:r>
    </w:p>
    <w:p>
      <w:r>
        <w:rPr>
          <w:b/>
        </w:rPr>
        <w:t>E. 5.3</w:t>
      </w:r>
    </w:p>
    <w:p>
      <w:r>
        <w:t>En l'occurrence, il est relevé que le Tribunal de céans a déjà eu l'occasion de juger que les codes de domicile français figurant sur les listes B et C constituaient des critères d'assujettissement suffisants pour considérer que les personnes derrière ces listes étaient assujetties en France durant la période sous contrôle (cf. arrêt du TAF A-1562/2018 du 3 août 2020 consid. 4.2). Cet élément est de surcroît appuyé par l'arrêt du Tribunal fédéral qui a jugé dans l'ATF 146 II 150 - à tout le moins implicitement en considérant que la demande du 11 mai 2016 était admissible - que ces codes de domicile constituaient des critères d'assujettissement suffisants, et explicitement au considérant 6 que « les renseignements demandés remplissent la condition de la pertinence vraisemblable selon l'art. 28 par. 1 CDI CH-FR ». Dans ces circonstances et compte tenu du fait qu'il est incontestable que le recourant figure avec un code domicile français « 111 » dans la liste Excel annexée à la requête du 11 mai 2016, il y a lieu de retenir que le critère d'assujettissement invoqué par l'Etat requérant dans le cas d'espèce, à savoir celui du domicile, est apparemment plausible et la question de savoir s'il entre en concurrence avec un critère d'assujettissement de l'Etat tiers dans lequel le recourant fait valoir avoir été domicilié fiscalement durant la période sous contrôle n'a pas à être examinée par la Cour de céans.</w:t>
      </w:r>
    </w:p>
    <w:p>
      <w:r>
        <w:rPr>
          <w:b/>
        </w:rPr>
        <w:t>E. 5.4</w:t>
      </w:r>
    </w:p>
    <w:p>
      <w:r>
        <w:t>Il s'avère, partant, que le grief d'inapplicabilité de la clause d'entraide est ici mal fondé au regard de la jurisprudence. Ce en particulier, dans la mesure où l'Etat requérant dispose, comme en l'espèce, d'éléments tendant à fonder un assujettissement illimité en France, à tout le moins sous l'angle de la vraisemblance, et que les faits présentés par l'autorité requérante ne peuvent être invalidés d'emblée sur la base d'erreurs, de lacunes ou de contradictions manifestes.</w:t>
      </w:r>
    </w:p>
    <w:p>
      <w:r>
        <w:rPr>
          <w:b/>
        </w:rPr>
        <w:t>E. 6.1</w:t>
      </w:r>
    </w:p>
    <w:p>
      <w:r>
        <w:t>Vu les considérants qui précèdent, le recours est rejeté. Le recourant, qui succombe, doit supporter les frais de procédure, lesquels se montent, compte tenu de la charge de travail liée à la procédure, à Fr. 5'000.- (cf. l'art. 63 al. 1 PA et art. 4 du règlement du 21 février 2008 concernant les frais, dépens et indemnités fixés par le TAF [FITAF, RS 173.320.2]). Ils seront prélevés sur l'avance de frais déjà versée d'un même montant.</w:t>
      </w:r>
    </w:p>
    <w:p>
      <w:r>
        <w:rPr>
          <w:b/>
        </w:rPr>
        <w:t>E. 6.2</w:t>
      </w:r>
    </w:p>
    <w:p>
      <w:r>
        <w:t>Vu l'issue de la cause, il n'est pas alloué de dépens (art. 64 al. 1 PA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