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F-1578/2022 vom 24. März 2023</w:t>
      </w:r>
    </w:p>
    <w:p>
      <w:r>
        <w:t>Bundesverwaltungsgericht, 2023-03-24, DE</w:t>
      </w:r>
    </w:p>
    <w:p>
      <w:r>
        <w:rPr>
          <w:b/>
        </w:rPr>
        <w:t xml:space="preserve">Quelle: </w:t>
      </w:r>
      <w:r>
        <w:t>https://mcp.opencaselaw.ch/entscheid/bvger_F-1578_2022</w:t>
      </w:r>
    </w:p>
    <w:p>
      <w:r>
        <w:t>FR: TAF F-1578/2022 du 24 mars 2023</w:t>
      </w:r>
    </w:p>
    <w:p>
      <w:r>
        <w:t>IT: TAF F-1578/2022 del 24 marzo 2023</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die angefochtene Verfügung besonders berührt. Obwohl der fest anberaumte Besuchszeitraum inzwischen verstrichen ist, kann auf ein fortbestehendes Rechtsschutzinteresse geschlossen werden. Der Beschwerdeführer ist daher zur Beschwerdeführung legitimiert (Art. 48 Abs. 1 VwVG). Auf die im Übrigen frist- und formgerecht eingereichte Beschwerde ist einzutreten (Art. 50 Abs. 1 und 52 Abs. 1 VwVG).</w:t>
      </w:r>
    </w:p>
    <w:p>
      <w:r>
        <w:rPr>
          <w:b/>
        </w:rPr>
        <w:t>E. 1.3</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(vgl. Art. 49 VwVG). Das 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Der angefochtenen Verfügung liegt ein Gesuch einer syrischen Staatsangehörigen um Erteilung eines Visums zu Besuchszwecken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sowie die dazugehörigen gemeinschaftsrechtlichen Rechtsakte übernommen hat. Das Ausländer- und Integrationsgesetz (AIG; SR 142.20) und seine Ausführungsbestimmungen gelangen nur soweit zur Anwendung, als die Schengen-Assoziierungsabkommen keine abweichenden Bestimmungen enthalten (Art. 2 Abs. 2-5 AIG).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3.3</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vgl. auch Art. 2 Ziff. 6 SGK; Art. 5 Abs. 1 Bst. a AIG).</w:t>
      </w:r>
    </w:p>
    <w:p>
      <w:r>
        <w:rPr>
          <w:b/>
        </w:rPr>
        <w:t>E. 3.4</w:t>
      </w:r>
    </w:p>
    <w:p>
      <w:r>
        <w:t>Voraussetzung zur Visumserteilung und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betroffene Person nicht bereit ist, das Hoheitsgebiet des Schengen-Raums fristgerecht wieder zu verlassen, ist eine Gefahr für die öffentliche Ordnung im Sinne von Art. 6 Abs. 1 Bst. e SGK anzunehmen.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Art. 5 Abs. 2 AIG; BVGE 2014/1 E. 4.3 und 4.4).</w:t>
      </w:r>
    </w:p>
    <w:p>
      <w:r>
        <w:rPr>
          <w:b/>
        </w:rPr>
        <w:t>E. 3.5</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Den Behörden kommt bei der Beurteilung, ob die Voraussetzungen für die Visumserteilung erfüllt sind, ein weiter Beurteilungsspielraum zu (BVGE 2014/1 E. 4.1.5 in fine).</w:t>
      </w:r>
    </w:p>
    <w:p>
      <w:r>
        <w:rPr>
          <w:b/>
        </w:rPr>
        <w:t>E. 3.6</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5 Abs. 3 AIG; Art. 3 Abs. 4 VEV; Art. 25 Abs. 1 Bst. a VK; Art. 6 Abs. 5 Bst. c SGK).</w:t>
      </w:r>
    </w:p>
    <w:p>
      <w:r>
        <w:rPr>
          <w:b/>
        </w:rPr>
        <w:t>E. 3.7</w:t>
      </w:r>
    </w:p>
    <w:p>
      <w:r>
        <w:t>Aufgrund ihrer syrischen Staatsangehörigkeit unterliegt die Gesuchstellerin der Visumspflicht (vgl. Art. 8 Abs. 1 VEV i.V.m. Anhang I der in E. 3.3 erwähnten Verordnung [EU] 2018/1806; Art. 6 Abs. 1 Bst. b SGK).</w:t>
      </w:r>
    </w:p>
    <w:p>
      <w:r>
        <w:rPr>
          <w:b/>
        </w:rPr>
        <w:t>E. 4.1</w:t>
      </w:r>
    </w:p>
    <w:p>
      <w:r>
        <w:t>Die Vorinstanz begründet die Abweisung der Einsprache im Wesentlichen damit, dass die Wiederausreise der Gesuchstellerin nicht gesichert sei.</w:t>
      </w:r>
    </w:p>
    <w:p>
      <w:r>
        <w:rPr>
          <w:b/>
        </w:rPr>
        <w:t>E. 4.2</w:t>
      </w:r>
    </w:p>
    <w:p>
      <w:r>
        <w:t>Bei der Beurteilung des Kriteriums der gesicherten Wiederausreise muss ein zukünftiges Verhalten beurteilt werden. Anhaltspunkte dazu können sich zunächst aus der allgemeinen Situation im Herkunftsland der drittstaatsangehörigen Personen ergeben. Namentlich bei Einreisegesuchen von Personen aus Staaten bzw. Regionen mit politisch, wirtschaftlich und sozial ungünstigen Verhältnissen rechtfertigt sich eine strengere Praxis, da die persönliche Interessenlage in solchen Fällen erfahrungsgemäss häufig nicht mit dem Ziel und Zweck einer zeitlich befristeten Einreisebewilligung im Einklang steht (BVGE 2014/1 E. 6.1 m.H.).</w:t>
      </w:r>
    </w:p>
    <w:p>
      <w:r>
        <w:rPr>
          <w:b/>
        </w:rPr>
        <w:t>E. 4.3</w:t>
      </w:r>
    </w:p>
    <w:p>
      <w:r>
        <w:t>In weiten Teilen Syriens besteht aufgrund der seit langem anhaltenden kriegerischen Auseinandersetzungen ein hoher Abwanderungsdruck unter der zivilen Bevölkerung. Viele syrische Staatsangehörige sind in benachbarte Staaten geflüchtet und versuchen von dort aus, weiter - insbesondere nach Europa - zu gelangen (vgl. Asylstatistik 2022 des SEM vom 13. Februar 2023, S. 3 und S. 16 f., &lt; stat-jahr-2022-kommentar (1).pdf &gt;, abgerufen im März 2023). Die Vorinstanz wies zu Recht darauf hin, dass dort, wo bereits verwandtschaftliche Verknüpfungen zu einer Zieldestination bestehen, auch ein entsprechender Zuwanderungsdruck festzustellen ist. Vor diesem Hintergrund ist nicht zu beanstanden, wenn die Vorinstanz vorliegend das Risiko einer nicht fristgerechten Ausreise als hoch einschätzt.</w:t>
      </w:r>
    </w:p>
    <w:p>
      <w:r>
        <w:rPr>
          <w:b/>
        </w:rPr>
        <w:t>E. 4.4</w:t>
      </w:r>
    </w:p>
    <w:p>
      <w:r>
        <w:t>Bei der Risikoanalyse sind allerdings nicht nur allgemeine Umstände und Erfahrungen, sondern auch sämtliche Gesichtspunkte des konkreten Einzelfalles zu berücksichtigen. Obliegt einer gesuchstellenden Person im Heimatland eine besondere berufliche, gesellschaftliche oder familiäre Verantwortung, kann dieser Umstand durchaus die Prognose für eine anstandslose Wiederausreise begünstigen. Demgegenüber muss bei Personen, die in ihrer Heimat keine besonderen Verpflichtungen haben, das Risiko für ein ausländerrechtlich nicht regelkonformes Verhalten nach einer bewilligten Einreise als hoch eingeschätzt werden (BVGE 2014/1 E. 6.3.1; 2009/27 E. 7).</w:t>
      </w:r>
    </w:p>
    <w:p>
      <w:r>
        <w:rPr>
          <w:b/>
        </w:rPr>
        <w:t>E. 4.5.1</w:t>
      </w:r>
    </w:p>
    <w:p>
      <w:r>
        <w:t>Die 66-jährige Gesuchstellerin ist verwitwet und wohnt mit einem Sohn zusammen in D._______. Nebst dem Beschwerdeführer in der Schweiz leben fünf weitere Kinder in E._______, F._______ sowie im G._______. Gemäss eigenen Angaben hat die Gesuchstellerin keinen Beruf erlernt und ist in Syrien keiner Erwerbstätigkeit nachgegangen. In der Beschwerde wird geltend gemacht, aufgrund ihres fortgeschrittenen Alters sei es ihr nicht möglich, sich in Europa zu integrieren und ein neues Leben aufzubauen. In Syrien habe sie keine wirtschaftlichen Probleme und gesundheitliche gehe es ihr gut. Zwar kann der Gesuchstellerin angesichts ihres fortgeschrittenen Alters nicht ohne Weiteres eine ausgeprägte Emigrationsabsicht zugeschrieben werden (vgl. Urteil des BVGer F- 3020/2019 vom 11. März 2021 E. 8.1). In Anbetracht der gewichtigen Gründe, die für eine Migration sprechen (u.a. Gesundheitsversorgung, wirtschaftliche und soziale Sicherheit in der Schweiz), kann aber auch im fortgeschrittenen Alter der Entschluss gefasst werden, auszuwandern oder - einmal im Gastland angekommen - dort zu verbleiben. Aufgrund der Akten ergeben sich keine Hinweise, die auf besondere familiäre oder gesellschaftliche Verpflichtungen der Gesuchstellerin schliessen lassen würden. Da sie vom Beschwerdeführer finanziell unterstützt wird, kann nicht angenommen werden, sie lebe in ihrer Heimat in derart soliden wirtschaftlichen Verhältnissen, welche sie von einer Emigration abhalten könnten. Mit der Vorinstanz ist deshalb davon auszugehen, dass die Gesuchstellerin aufgrund ihrer persönlichen Situation keine Verpflichtungen hat, die besondere Gewähr für eine Rückkehr ins Heimatland bieten könnten.</w:t>
      </w:r>
    </w:p>
    <w:p>
      <w:r>
        <w:rPr>
          <w:b/>
        </w:rPr>
        <w:t>E. 4.5.2</w:t>
      </w:r>
    </w:p>
    <w:p>
      <w:r>
        <w:t>An dieser Einschätzung vermag weder die amtlich beglaubigte Verpflichtungserklärung noch die Bereitschaft des Beschwerdeführers, eine Garantiesumme zu hinterlegen, etwas zu ändern. Er kann zwar als Gastgeber mit rechtlich verbindlicher Wirkung für gewisse finanzielle Risiken im Zusammenhang mit dem Besuchsaufenthalt, nicht aber für ein bestimmtes Tun oder Unterlassen seines Gastes einstehen (vgl. BVGE 2009/27 E. 9). Sodann kann die Erteilung eines Visums für die Gesuchstellerin nicht an eine Bedingung zulasten der Aufenthaltsbewilligung des Beschwerdeführers geknüpft werden. Auch aus dem Umstand, wonach die Vorinstanz den Eltern von syrischen Kollegen des Beschwerdeführers Einreisevisa erteilt habe, kann dieser nichts zu seinen Gunsten ableiten, zumal jeder Fall individuell zu beurteilen ist.</w:t>
      </w:r>
    </w:p>
    <w:p>
      <w:r>
        <w:rPr>
          <w:b/>
        </w:rPr>
        <w:t>E. 4.6</w:t>
      </w:r>
    </w:p>
    <w:p>
      <w:r>
        <w:t>Gestützt auf die vorstehenden Erwägungen hat die Vorinstanz das Visum für den gesamten Schengen-Raum zu Recht verweigert. Entgegen den Ausführungen des Beschwerdeführers basiert diese Verweigerung auf einer hinreichenden einzelfallweisen Beurteilung des Visumgesuchs. Für eine Rückweisung der Sache an die Vorinstanz, wie eventualiter beantragt, besteht kein Anlass. Gründe humanitärer oder anderer Art, welche die Erteilung eines Visums mit räumlich beschränkter Gültigkeit rechtfertigen würden (vgl. dazu E. 3.6 vorstehend), wurden nicht geltend gemacht und sind auch nicht ersichtlich.</w:t>
      </w:r>
    </w:p>
    <w:p>
      <w:r>
        <w:rPr>
          <w:b/>
        </w:rPr>
        <w:t>E. 5</w:t>
      </w:r>
    </w:p>
    <w:p>
      <w:r>
        <w:t>Die angefochtene Verfügung erweist sich somit im Lichte von Art. 49 VwVG als rechtmässig. Die Beschwerde ist abzuweisen.</w:t>
      </w:r>
    </w:p>
    <w:p>
      <w:r>
        <w:rPr>
          <w:b/>
        </w:rPr>
        <w:t>E. 6</w:t>
      </w:r>
    </w:p>
    <w:p>
      <w:r>
        <w:t>Bei diesem Ausgang des Verfahrens sind die Kosten dem Beschwerdeführer aufzuerlegen und auf Fr. 800.- festzusetzen (vgl. Art. 63 Abs. 1 VwVG i.V.m. Art. 1 ff. des Reglements vom 21. Februar 2008 über die Kosten und Entschädigungen vor dem Bundesverwaltungsgericht [VGKE, SR 173.320.2]). Die Verfahrenskosten sind durch den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