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F-1574/2026 vom 6. März 2026</w:t>
      </w:r>
    </w:p>
    <w:p>
      <w:r>
        <w:t>Bundesverwaltungsgericht, 2026-03-06, FR</w:t>
      </w:r>
    </w:p>
    <w:p>
      <w:r>
        <w:rPr>
          <w:b/>
        </w:rPr>
        <w:t xml:space="preserve">Quelle: </w:t>
      </w:r>
      <w:r>
        <w:t>https://mcp.opencaselaw.ch/entscheid/bvger_F-1574_2026</w:t>
      </w:r>
    </w:p>
    <w:p>
      <w:r>
        <w:t>FR: TAF F-1574/2026 du 6 mars 2026</w:t>
      </w:r>
    </w:p>
    <w:p>
      <w:r>
        <w:t>IT: TAF F-1574/2026 del 6 marzo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L'intéressée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En particulier, si le demandeur est titulaire d'un visa en cours de validité, l'Etat membre qui l'a délivré est responsable de l'examen de la protection internationale, sauf exception non réalisée en l'espèce (cf.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il n'est pas contesté que l'intéressée était titulaire d'un visa bulgare en cours de validité lors du dépôt de sa demande d'asile. Par ailleurs, à la suite de la requête soumise par le SEM dans le délai prévu à l'art. 21 par. 1 RD III, les autorités bulgares compétentes ont accepté la prise en charge de l'intéressée, dans le respect du délai fixé à l'art. 22 par. 1 RD III. Ainsi, la Bulgarie est responsable du traitement de la demande d'asile de la recourante.</w:t>
      </w:r>
    </w:p>
    <w:p>
      <w:r>
        <w:rPr>
          <w:b/>
        </w:rPr>
        <w:t>E. 3.1</w:t>
      </w:r>
    </w:p>
    <w:p>
      <w:r>
        <w:t>Il y a ensuite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du 11 février 2020 consid. 6 et, en particulier, consid. 6.6.7). Depuis lors, cette jurisprudence a été confirmée à maintes reprises (cf., p. ex., arrêt du TAF F-825/2026 du 11 février 2026 consid. 5.2 et les réf. citées).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du 11 février 2020 consid. 6.6.7 et 6.6.8).</w:t>
      </w:r>
    </w:p>
    <w:p>
      <w:r>
        <w:rPr>
          <w:b/>
        </w:rPr>
        <w:t>E. 3.3</w:t>
      </w:r>
    </w:p>
    <w:p>
      <w:r>
        <w:t>En l'espèce, la recourante n'a fait que transiter par la Bulgarie au cours de son parcours migratoire et n'a aucunement soutenu avoir dû faire face à des traitements d'accueil dégradants ou à de mauvaises conditions d'accueil dans ce pays. Partant, une application de l'art. 3 par. 2 al. 2 RD III ne se justifie pas.</w:t>
      </w:r>
    </w:p>
    <w:p>
      <w:r>
        <w:rPr>
          <w:b/>
        </w:rPr>
        <w:t>E. 4.1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L'intéressée a fait valoir le droit au respect de sa vie familiale (art. 8 CEDH), en invoquant la présence de son époux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 D'autres liens familiaux ou de parenté peuvent également être protégés lorsqu'il y a un rapport de dépendance particulier dépassant les relations familiales respectivement les liens émotionnels usuels, par exemple en raison d'un handicap ou d'une maladie grave (cf. ATF 145 I 227 consid. 3.1).</w:t>
      </w:r>
    </w:p>
    <w:p>
      <w:r>
        <w:rPr>
          <w:b/>
        </w:rPr>
        <w:t>E. 4.3</w:t>
      </w:r>
    </w:p>
    <w:p>
      <w:r>
        <w:t>En l'espèce, la recourante a allégué être mariée religieusement à un compatriote, reconnu comme réfugié et détenteur d'une autorisation de séjour (permis B). Cela étant, le Tribunal constate que ce mariage n'a aucunement été démontré par l'intéressée. Celle-ci a uniquement été en mesure de produire des photos de sa fête de fiançailles ainsi qu'un carton d'invitation à une cérémonie entre son époux allégué et elle. A l'appui de son recours, elle a également produit les démarches initiées après son arrivée en Suisse auprès de l'Etat civil de la commune de résidence de son compagnon, desquelles il ressort que le couple se considère comme fiancé. De plus, il convient de relever que, lors de l'enregistrement de ses données personnelles, la recourante a indiqué s'être mariée en juillet 2023, ce qui contraste fortement avec la date du 23 octobre 2025 alléguée par la suite pour le mariage ou même avec la date des fiançailles, soit le 15 novembre 2024. Or, le Tribunal rappelle que, en application des art. 8 LAsi et 13 PA et des règles sur le fardeau de la preuve (art. 8 CC), il incombe aux intéressés de démontrer les faits qu'ils allèguent (cf. arrêt du TAF F-6055/2024 du 10 mars 2025 consid. 3.4.1). En l'espèce, la recourante n'a pas fourni son acte de mariage ou tout autre document attestant de son mariage religieux. De plus, il ressort des déclarations de la recourante que les époux n'ont jamais vécu ensemble avant sa venue en Suisse. Par ailleurs, il ressort du dossier d'asile de son compagnon que celui-ci s'est présenté comme célibataire tout au long de sa propre procédure d'asile, soit de janvier 2024 à juillet 2025. Sur le vu de ces différents éléments, le Tribunal ne peut considérer que le mariage de la recourante a été démontré à satisfaction de droit. Dès lors, indépendamment de la relation effective entre l'intéressée et celui qu'elle affirme avoir épousé, elle ne peut se prévaloir du droit au respect de la vie familiale protégé par l'art. 8 CEDH en vertu de son mariage.</w:t>
      </w:r>
    </w:p>
    <w:p>
      <w:r>
        <w:rPr>
          <w:b/>
        </w:rPr>
        <w:t>E. 4.4</w:t>
      </w:r>
    </w:p>
    <w:p>
      <w:r>
        <w:t>Faute pour l'intéressée de pouvoir se prévaloir d'un mariage effectivement démontré, il reste encore à examiner si la relation vécue avec un titulaire d'une autorisation de séjour atteint une intensité telle qu'elle justifierait tout de même une protection au sens de l'art. 8 CEDH. A cet égard, le Tribunal rappelle que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 du TF 2C_584/2022 du 29 juillet 2022 consid. 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 En l'espèce toutefois, l'intéressée et son compagnon n'ont jamais fait ménage commun avant la venue en Suisse de la recourante à la fin du mois de janvier 2026. Par ailleurs, ils n'ont pas d'enfants communs. Dans ces conditions, la recourante ne peut se prévaloir d'une vie familiale protégée par l'art. 8 CEDH pour s'opposer à son transfert vers la Bulgarie.</w:t>
      </w:r>
    </w:p>
    <w:p>
      <w:r>
        <w:rPr>
          <w:b/>
        </w:rPr>
        <w:t>E. 4.5.1</w:t>
      </w:r>
    </w:p>
    <w:p>
      <w:r>
        <w:t>Pour ce qui concerne ensuite l'état de santé de l'intéressée, il faut rappeler que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CourEDH Savran c. Danemark [GC] du 7 décembre 2021, requête n° 57467/15 par. 122 à 139 et Paposhvili c. Belgique [GC] du 13 décembre 2016, requête n° 41738/10 ; ATAF 2017 VI/7 consid. 6.2).</w:t>
      </w:r>
    </w:p>
    <w:p>
      <w:r>
        <w:rPr>
          <w:b/>
        </w:rPr>
        <w:t>E. 4.5.2</w:t>
      </w:r>
    </w:p>
    <w:p>
      <w:r>
        <w:t>En l'espèce, il ne ressort pas du dossier que la recourante ait dû consulter un médecin depuis son arrivée en Suisse. Par ailleurs, elle n'a pas fait valoir, à l'appui de son recours, être atteinte dans sa santé. Partant, sa santé n'est pas de nature à faire obstacle à un transfert vers la Bulgarie, étant encore rappelé que ce pays, qui est lié par la directive n° 2013/33/UE du Parlement européen et du Conseil du 26 juin 2013 établissant des normes pour l'accueil des personnes demandant la protection internationale et dispose de structures médicales suffisantes,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w:t>
      </w:r>
    </w:p>
    <w:p>
      <w:r>
        <w:rPr>
          <w:b/>
        </w:rPr>
        <w:t>E. 4.5.3</w:t>
      </w:r>
    </w:p>
    <w:p>
      <w:r>
        <w:t>Dans ces conditions, la recourante ne saurait être qualifiée de « particulièrement vulnérable », de sorte que nul n'est besoin d'obtenir, de la part de la Bulgarie, des garanties individuelles et concrètes s'agissant de sa prise en charge (cf. arrêt de référence F-7195/2018 du 11 février 2020, consid. 7.4.1 ss ; arrêt du TAF F-825/2026 du 11 février 2026 consid. 6.5).</w:t>
      </w:r>
    </w:p>
    <w:p>
      <w:r>
        <w:rPr>
          <w:b/>
        </w:rPr>
        <w:t>E. 4.6</w:t>
      </w:r>
    </w:p>
    <w:p>
      <w:r>
        <w:t>Sur le vu de ce qui précède, le transfert de l'intéressée vers la Bulgarie n'est pas contraire aux obligations de la Suisse relevant du droit international public, ni au droit national. Le SEM n'était donc pas tenu de renoncer au transfert et d'examiner lui-même la demande d'asile de la recourante, étant rappelé que le Tribunal n'est pas en mesure d'examiner l'opportunité de la décision querellée (cf. consid. 1.3 supra).</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la recourante de voir sa procédure d'asile menée par la Suisse.</w:t>
      </w:r>
    </w:p>
    <w:p>
      <w:r>
        <w:rPr>
          <w:b/>
        </w:rPr>
        <w:t>E. 6.1</w:t>
      </w:r>
    </w:p>
    <w:p>
      <w:r>
        <w:t>Au regard de l'ensemble des éléments qui précèdent, c'est à bon droit que le SEM n'est pas entré en matière sur la demande d'asile de l'intéressée, en application de l'art. 31a al. 1 let. b LAsi, et qu'il a prononcé son transfert vers la Bulgarie conformément à l'art. 44 1ère phr. LAsi, étant précisé qu'aucune exception à la règle générale du renvoi n'est réalisée (cf. art. 32 OA 1). Partant, le recours est rejeté.</w:t>
      </w:r>
    </w:p>
    <w:p>
      <w:r>
        <w:rPr>
          <w:b/>
        </w:rPr>
        <w:t>E. 6.2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les requêtes formulées dans le recours tendant à l'exemption du paiement d'une avance de frais et à l'octroi de l'effet suspensif sont sans objet. Le litige prenant fin, les mesures superprovisionnelles prononcées le 4 mars 2026 sont caduques.</w:t>
      </w:r>
    </w:p>
    <w:p>
      <w:r>
        <w:rPr>
          <w:b/>
        </w:rPr>
        <w:t>E. 6.3</w:t>
      </w:r>
    </w:p>
    <w:p>
      <w:r>
        <w:t>Les conclusions du recours étant d'emblée vouées à l'échec, la demande d'assistance judiciaire est rejetée.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