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F-156/2022 vom 6. März 2023</w:t>
      </w:r>
    </w:p>
    <w:p>
      <w:r>
        <w:t>Bundesverwaltungsgericht, 2023-03-06, DE</w:t>
      </w:r>
    </w:p>
    <w:p>
      <w:r>
        <w:rPr>
          <w:b/>
        </w:rPr>
        <w:t xml:space="preserve">Quelle: </w:t>
      </w:r>
      <w:r>
        <w:t>https://mcp.opencaselaw.ch/entscheid/bvger_F-156_2022</w:t>
      </w:r>
    </w:p>
    <w:p>
      <w:r>
        <w:t>FR: TAF F-156/2022 du 6 mars 2023</w:t>
      </w:r>
    </w:p>
    <w:p>
      <w:r>
        <w:t>IT: TAF F-156/2022 del 6 marzo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angefochtenen Entscheid besonders berührt. Obwohl der ursprünglich angestrebte Besuchszeitraum inzwischen abgelaufen ist, kann auf ein fortbestehendes Rechtsschutzinteresse geschlossen werden. Der Beschwerdeführer ist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2014/1 E. 2 m.H.).</w:t>
      </w:r>
    </w:p>
    <w:p>
      <w:r>
        <w:rPr>
          <w:b/>
        </w:rPr>
        <w:t>E. 3</w:t>
      </w:r>
    </w:p>
    <w:p>
      <w:r>
        <w:t>Der angefochtenen Verfügung liegt das Gesuch einer syrischen Staatsangehörigen um Erteilung eines Visums zu Besuchszwecken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vgl. auch Art. 2 Ziff. 6 SGK; Art. 5 Abs. 1 Bst. a AIG). Als syrische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Art. 5 Abs. 2 AIG; BVGE 2014/1 E. 4.3 und 4.4).</w:t>
      </w:r>
    </w:p>
    <w:p>
      <w:r>
        <w:rPr>
          <w:b/>
        </w:rPr>
        <w:t>E. 4.3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Den Behörden kommt bei der Beurteilung, ob die Voraussetzungen für die Visumserteilung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VK; Art. 6 Abs. 5 Bst. c SGK).</w:t>
      </w:r>
    </w:p>
    <w:p>
      <w:r>
        <w:rPr>
          <w:b/>
        </w:rPr>
        <w:t>E. 5.1</w:t>
      </w:r>
    </w:p>
    <w:p>
      <w:r>
        <w:t>Aufgrund ihrer Staatszugehörigkeit unterliegt die Gesuchstellerin der Visumspflicht (vgl. E. 4.1 in fine). Bei der Prüfung der Einreisevoraussetzungen nach Art. 6 Abs. 1 SGK ist die Frage der gesicherten Wiederausreise zentral. Eine solche erachtete das SEM aufgrund der allgemeinen Situation im Heimatland und der persönlichen Verhältnisse der Besucherin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5 Abs. 1 Bst. c SGK; Art. 5 Abs. 2 AIG).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und/oder sozial ungünstigen Verhältnissen rechtfertigt sich eine strenge Praxis, da die persönliche Interessenlage in solchen Fällen erfahrungsgemäss häufig nicht mit dem Ziel und Zweck einer zeitlich befristeten Einreisebewilligung im Einklang steht.</w:t>
      </w:r>
    </w:p>
    <w:p>
      <w:r>
        <w:rPr>
          <w:b/>
        </w:rPr>
        <w:t>E. 5.3</w:t>
      </w:r>
    </w:p>
    <w:p>
      <w:r>
        <w:t>Syrien befindet sich politisch und wirtschaftlich in einer schwierigen Lage. In weiten Teilen Syriens steht die Zivilbevölkerung aufgrund der notorischen bewaffneten Konflikte, die seit den Aufständen des «Arabischen Frühlings» im Jahr 2011 andauern, unter einem starken Auswanderungsdruck (vgl. Urteile des BVGer F-1986/2022 vom 10. Januar 2023 E. 6.2 m.H.; F-643/2022 vom 17. März 2022 E. 4.2). Viele sind in die Nachbarstaaten geflohen und versuchen, ihre Route insbesondere nach Europa fortzusetzen (vgl. Asylstatistik 2022 des SEM vom 13. Februar 2023, S. 3 und 14 ff., &lt;https://www.sem.admin.ch/dam/sem/de/data/publiservice/statistik/asylstatistik/2022/stat-jahr-2022-kommentar.pdf.download.pdf/stat-jahr-2022-kommentar-d.pdf&gt;, abgerufen im Februar 2023). Vor diesem Hintergrund ist es naheliegend, dass Familienangehörige oftmals versuchen, auch ihre Eltern oder Grosseltern, für welche sie sich verantwortlich fühlen, in die Schweiz nachzuziehen. Dies insbesondere dann, wenn diese - altersbedingt ohne berufliche Verpflichtungen - alleine im Heimatstaat zurückbleiben und/oder aus gesundheitlichen Gründen nicht mehr für sich selbst sorgen können. Die Befürchtungen der Vorinstanz, dass die Betroffenen ihren Aufenthalt in der Schweiz (bzw. im Schengenraum) über die Gültigkeitsdauer der beantragten Visa hinaus verlängern könnten, um dort bessere Lebensbedingungen als in ihrem Heimatland zu finden, kann das Gericht nicht von vornherein ausschliessen. Es ist daher nicht zu beanstanden, dass die Vorinstanz das Risiko einer nicht fristgerechten Ausreise als hoch einschätzt (vgl. BVGE 2014/1 E. 6.1; Urteil des BVGer F-643/2022 vom 17. März 2022 E. 4.2).</w:t>
      </w:r>
    </w:p>
    <w:p>
      <w:r>
        <w:rPr>
          <w:b/>
        </w:rPr>
        <w:t>E. 5.4</w:t>
      </w:r>
    </w:p>
    <w:p>
      <w:r>
        <w:t>Allerdings wäre es - wie vom Beschwerdeführer zurecht vorgetragen (BVGer act. 1 S. 4) - zu schematisch und nicht haltbar, lediglich aufgrund von pauschalen Feststellungen zur allgemeinen Lage in der Herkunftsregion und ohne spezifische, auf den Einzelfall bezogene Anhaltspunkte auf eine nicht hinreichend gesicherte Wiederausreise zu schliessen. Es gilt daher, nebst der Situation im Herkunftsland auch die weiteren Umstände zu würdigen. Dabei sind in die Prognose hinsichtlich der Absicht einer gesuchstellenden Person, den Schengen-Raum fristgerecht zu verlassen, deren persönliche, familiäre und berufliche bzw. wirtschaftliche Situation sowie deren Interessenlage miteinzubeziehen. Obliegt einer gesuchstellenden Person im Heimatland beispielsweise eine besondere familiäre, berufliche oder gesellschaftliche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w:t>
      </w:r>
    </w:p>
    <w:p>
      <w:r>
        <w:rPr>
          <w:b/>
        </w:rPr>
        <w:t>E. 6</w:t>
      </w:r>
    </w:p>
    <w:p>
      <w:r>
        <w:t>Es ist daher zu prüfen, ob die persönliche, familiäre, berufliche und vermögensrechtliche Situation der Gesuchstellerin für ihre fristgerechte Ausreise aus der Schweiz spricht.</w:t>
      </w:r>
    </w:p>
    <w:p>
      <w:r>
        <w:rPr>
          <w:b/>
        </w:rPr>
        <w:t>E. 6.1</w:t>
      </w:r>
    </w:p>
    <w:p>
      <w:r>
        <w:t>Diesbezüglich hält die Vorinstanz fest, dass die Gesuchstellerin in ihrem Heimatland gemäss ihren eigenen Angaben keinerlei familiäre, berufliche oder gesellschaftliche Verpflichtungen habe. Die Gesuchstellerin sei pensioniert, verwitwet und alle ihre Kinder seien erwachsen.</w:t>
      </w:r>
    </w:p>
    <w:p>
      <w:r>
        <w:rPr>
          <w:b/>
        </w:rPr>
        <w:t>E. 6.2</w:t>
      </w:r>
    </w:p>
    <w:p>
      <w:r>
        <w:t>Der Beschwerdeführer wendet dagegen ein, seine Mutter sei immer noch eng mit ihrer Heimat verbunden und habe ihr Beziehungsnetz und soziales Umfeld aufgrund der dort lebenden Kinder und Geschwister in Syrien (BVGer act. 1 S. 2 f.). Zudem bringt der Beschwerdeführer vor, ältere Menschen wie seine Mutter könnten sich in der Schweiz nicht einleben, da die sprachlichen und kulturellen Hürden zu hoch seien und sie sich entfremdet und entwurzelt fühlen würden.</w:t>
      </w:r>
    </w:p>
    <w:p>
      <w:r>
        <w:rPr>
          <w:b/>
        </w:rPr>
        <w:t>E. 6.3.1</w:t>
      </w:r>
    </w:p>
    <w:p>
      <w:r>
        <w:t>Die 65-jährige Gesuchstellerin ist verwitwet und einige ihrer Kinder leben in der Schweiz und in Deutschland. Zwar ist eine gewisse familiäre Verwurzelung in ihrem Heimatland aufgrund der dort lebenden Kinder und Geschwister nicht zu verneinen, allerdings sind diese erwachsen und die Gesuchstellerin hat keine familiären Verpflichtungen. Sie macht sodann nicht geltend, regelmässig in das Alltagsleben ihrer in Syrien lebenden Familienangehörigen, deren genauen Aufenthaltsort unbekannt bleibt, eingegliedert zu sein. So hat die Gesuchstellerin - entgegen der Angabe des Beschwerdeführers, seine Mutter hätte Syrien nie verlassen (SEM act. 1 S. 7) - in der Vergangenheit bereits im Ausland gelebt (SEM Akten, 1. Antrag auf Erteilung eines Schengen-Visums vom 23. August 2016). Der sich aus den Umständen ergebende Eindruck wird sodann auch vom Beschwerdeführer selbst bestätigt, gibt er doch im Rahmen der Sachverhaltsabklärung durch das kantonale Migrationsamt an, die Gesuchstellerin habe im Heimatland keine Verpflichtungen (SEM act. 6 S. 62).</w:t>
      </w:r>
    </w:p>
    <w:p>
      <w:r>
        <w:rPr>
          <w:b/>
        </w:rPr>
        <w:t>E. 6.3.2</w:t>
      </w:r>
    </w:p>
    <w:p>
      <w:r>
        <w:t>Nachdem die Gesuchstellerin im Jahre 2016 noch selbstständig eine Autowerkstatt führte (SEM Akten, Sachverhaltsabklärung des kantonalen Migrationsamts im Verfahren des 1. Antrag auf Erteilung eines Schengen-Visums vom 23. August 2016), ist sie nach ihren Angaben mittlerweile pensioniert und keiner (gesellschaftlichen) Tätigkeit mehr verpflichtet. Der Gastgeber bringt hingegen vor, dass ihre Rückkehr in ihr Heimatland durch die dort vorhandenen Vermögenswerte sichergestellt sei. Insbesondere verfüge sie in Syrien über wertvolles Grundeigentum, welches sie nicht zurücklassen würde (BVGer act. 8). Der Beschwerdeführer reichte zu diesem Beweiszweck einen Kaufvertrag vom 1. Februar 2010 über das Grundstück Nr. (...) / Parzelle (...) in X._______ ein. Im Rahmen ihres Visumsantrags im Jahre 2016 hatte die Gesuchstellerin ebenfalls einen Kaufvertrag über das vorgenannte Grundstück eingereicht, jedoch datiert vom 7. August 2016 und mit Bezeichnung anderer Parteien. Die anscheinend widersprüchliche Aktenlage vermag indessen das geltend gemachte Eigentum nicht zu beweisen, weshalb sich auch keine wirtschaftliche Verpflichtung zu Gunsten der Gesuchstellerin daraus ableiten lässt. Ohnehin gilt es zu bedenken, dass selbst Grundeigentum keine hinreichende Gewähr für eine fristgerechte und anstandslose Wiederausreise der Gesuchstellerin bietet, da im Fall einer Migration solche Vermögenswerte nicht verloren gehen würden (BVGer F-4758/2018 vom 14. April 2020 E. 6.3.2 m.w.H.). Schliesslich soll die Gesuchstellerin gemäss den Vorbringen des Gastgebers in Syrien ein gutes Leben führen und keine gesundheitlichen oder wirtschaftlichen Probleme haben (BVGer act. 7 S. 3). Der Beschwerdeführer gibt aber auch an, dass die Reisekosten und die Lebenshaltungskosten von ihm und seinen ebenfalls in der Schweiz und in Deutschland lebenden Geschwistern getragen würden (BVGer act. 1 S. 2; SEM act. 2 S. 26 f.). Die Aktenlage lässt damit nicht den Schluss zu, die Gesuchstellerin lebe in Syrien in wirtschaftlich günstigen oder soliden Verhältnissen, die sie von einer Emigration abhalten könnten.</w:t>
      </w:r>
    </w:p>
    <w:p>
      <w:r>
        <w:rPr>
          <w:b/>
        </w:rPr>
        <w:t>E. 6.4</w:t>
      </w:r>
    </w:p>
    <w:p>
      <w:r>
        <w:t>Vor dem dargelegten allgemeinen und persönlichen Hintergrund durfte die Vorinstanz davon ausgehen, dass keine hinreichende Gewähr für eine fristgerechte anstandslose Wiederausreise der Gesuchstellerin nach einem Besuchsaufenthalt besteht. An den guten Absichten des Beschwerdeführers ist hierbei nicht zu zweifeln. Zugleich gilt es zu bedenken, dass er in seiner Eigenschaft als Gastgeber zwar für gewisse finanzielle Risiken Garantie leisten kann, nicht aber - mangels rechtlicher und faktischer Durchsetzbarkeit - für ein bestimmtes Verhalten der eingeladenen Person (vgl. BVGE 2014/1 E. 6.3.7 und BVGE 2009/27 E. 9). Auch vermag der Beschwerdeführer aus dem Umstand, wonach die Vorinstanz die Einsprache eines Kollegen gutgeheissen habe, woraufhin dessen Eltern in die Schweiz hätten einreisen können, nichts für sich abzuleiten, zumal jeder konkrete Einzelfall individuell zu beurteilen ist. Nach dem Gesagten vermag das private Interesse der Gesuchstellerin an einem Besuch in der Schweiz das öffentliche Interesse an der Vermeidung des Risikos nicht zu überwiegen. Ihr an sich verständlicher Wunsch, ihren Sohn nach 14 Jahren wieder zu sehen sowie ihre Enkelkinder kennen zu lernen, hat demnach in den Hintergrund zu treten (s. auch Urteil des BVGer F-2165/2020 vom 12. April 2021 E. 7) bzw. müsste ausserhalb des Schengen-Raums realisiert werden.</w:t>
      </w:r>
    </w:p>
    <w:p>
      <w:r>
        <w:rPr>
          <w:b/>
        </w:rPr>
        <w:t>E. 6.5</w:t>
      </w:r>
    </w:p>
    <w:p>
      <w:r>
        <w:t>Zusammenfassend ergibt sich, dass vorliegend die Voraussetzungen für die Erteilung eines einheitlichen Visums für den Schengen-Raum nicht erfüllt sind. Gründe für die Ausstellung eines Visums mit räumlich beschränkter Gültigkeit (vgl. dazu E. 4.5) wurden von den Beteiligten zu Recht nicht geltend gemacht und sind auch nicht ersichtlich.</w:t>
      </w:r>
    </w:p>
    <w:p>
      <w:r>
        <w:rPr>
          <w:b/>
        </w:rPr>
        <w:t>E. 7</w:t>
      </w:r>
    </w:p>
    <w:p>
      <w:r>
        <w:t>Aus diesen Darlegungen folgt, dass die angefochtene Verfügung im Lichte von Art. 49 VwVG nicht zu beanstanden ist.</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