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F-1553/2021 vom 29. Juni 2022</w:t>
      </w:r>
    </w:p>
    <w:p>
      <w:r>
        <w:t>Bundesverwaltungsgericht, 2022-06-29, FR</w:t>
      </w:r>
    </w:p>
    <w:p>
      <w:r>
        <w:rPr>
          <w:b/>
        </w:rPr>
        <w:t xml:space="preserve">Quelle: </w:t>
      </w:r>
      <w:r>
        <w:t>https://mcp.opencaselaw.ch/entscheid/bvger_F-1553_2021</w:t>
      </w:r>
    </w:p>
    <w:p>
      <w:r>
        <w:t>FR: TAF F-1553/2021 du 29 juin 2022</w:t>
      </w:r>
    </w:p>
    <w:p>
      <w:r>
        <w:t>IT: TAF F-1553/2021 del 29 giugno 2022</w:t>
      </w:r>
    </w:p>
    <w:p>
      <w:pPr>
        <w:pStyle w:val="Heading2"/>
      </w:pPr>
      <w:r>
        <w:t>Regeste</w:t>
      </w:r>
    </w:p>
    <w:p>
      <w:r>
        <w:t>Assistance administrative</w:t>
      </w:r>
    </w:p>
    <w:p>
      <w:pPr>
        <w:pStyle w:val="Heading2"/>
      </w:pPr>
      <w:r>
        <w:t>Erwägungen</w:t>
      </w:r>
    </w:p>
    <w:p>
      <w:r>
        <w:rPr>
          <w:b/>
        </w:rPr>
        <w:t>E. 5</w:t>
      </w:r>
    </w:p>
    <w:p>
      <w:r>
        <w:t>Pour ce qui est des conditions de fond, les recourants invoquent, dans leur recours du 1er avril 2021, la violation du principe de la pertinence vraisemblable, l'origine illicite des informations ayant conduit à la demande d'assistance, la mauvaise foi de l'autorité étrangère ainsi que la violation du secret bancaire.</w:t>
      </w:r>
    </w:p>
    <w:p>
      <w:r>
        <w:rPr>
          <w:b/>
        </w:rPr>
        <w:t>E. 5.1</w:t>
      </w:r>
    </w:p>
    <w:p>
      <w:r>
        <w:t>Les recourants arguent, en premier lieu, que les informations bancaires devraient être exclues de l'assistance administrative, dans la mesure où « il ressort de la demande d'entraide française qu'elle[s n'ont] aucune pertinence pour tout fait ou information antérieure de plus de dix ans à la date de transmission effective de ces informations vers la France » (cf. recours p. 2).</w:t>
      </w:r>
    </w:p>
    <w:p>
      <w:r>
        <w:rPr>
          <w:b/>
        </w:rPr>
        <w:t>E. 5.1.1</w:t>
      </w:r>
    </w:p>
    <w:p>
      <w:r>
        <w:t>La Cour de céans relève que le grief soulevé par les recourants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6.3 ; arrêt du TAF A-1944/2017 du 8 août 2018 consid. 3.3.6.2 ; voir aussi arrêts du TAF A-4669/2016 du 8 décembre 2017 consid. 2.7 ; A-4025/2016 du 2 mai 2017 consid. 3.2.6 avec les nombreuses références citées). Or, déterminer si les impôts dus pour la période fiscale concernée sont prescrits ou non est une question de fond qui devra être invoquée devant, puis tranchée par les autorités françaises compétentes. En effet, ni l'AFC ni le TAF n'ont à examiner des objections liées au bien-fondé de la procédure fiscale conduite à l'étranger ni à l'interroger sur d'éventuels obstacles - comme une éventuelle prescription - qui, en application du droit interne de l'Etat requérant, empêcheraient l'utilisation des renseignements obtenus (cf. ATF 144 II 206 consid. 4.3 et 4.6 ; arrêt du TF 2C_662/2021, 2C_663/2021 du 18 mars 2022 consid. 5.4.1 et 5.4.2 avec les nombreuses références).</w:t>
      </w:r>
    </w:p>
    <w:p>
      <w:r>
        <w:rPr>
          <w:b/>
        </w:rPr>
        <w:t>E. 5.1.2</w:t>
      </w:r>
    </w:p>
    <w:p>
      <w:r>
        <w:t>Partant, il n'appartient pas à la Suisse de se déterminer sur une éventuelle prescription des impôts concernant les années concernées. Il appartient en revanche aux recourants de faire valoir leurs moyens procéduraux devant les autorités compétentes de l'Etat requérant. Leur grief est donc écarté.</w:t>
      </w:r>
    </w:p>
    <w:p>
      <w:r>
        <w:rPr>
          <w:b/>
        </w:rPr>
        <w:t>E. 5.2</w:t>
      </w:r>
    </w:p>
    <w:p>
      <w:r>
        <w:t>Au moyen d'un grief additionnel, les recourants reprochent à l'autorité inférieure d'accéder à une demande d'assistance basée sur des données volées, en violation du principe de la bonne foi, respectivement des art. 7 let. c LAAF et 47 de la loi fédérale du 8 novembre 1934 sur les banques (LB, RS 952.0). Cette question juridique n'ayant pas été traitée dans l'ATF 146 II 150, il convient par conséquent de l'examiner plus en détail dans la présente cause.</w:t>
      </w:r>
    </w:p>
    <w:p>
      <w:r>
        <w:rPr>
          <w:b/>
        </w:rPr>
        <w:t>E. 5.2.1</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E._______. Le serveur de sauvegarde comprenait des sauvegardes des ordinateurs des employés [de la banque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d'X._______ Deutschland AG à Francfort et auprès d'autres sites d'X._______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5.2.2</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 à 5.2.4 ci-après.</w:t>
      </w:r>
    </w:p>
    <w:p>
      <w:r>
        <w:rPr>
          <w:b/>
        </w:rPr>
        <w:t>E. 5.2.3</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Y._______ par Z._______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Z._______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Z._______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Z._______ ». On ne voit pas qu'il existe par ailleurs un autre engagement pris par l'Etat français dans ce sens et les recourants ne le soutiennent à juste titre pas. 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w:t>
      </w:r>
    </w:p>
    <w:p>
      <w:r>
        <w:rPr>
          <w:b/>
        </w:rPr>
        <w:t>E. 5.2.4</w:t>
      </w:r>
    </w:p>
    <w:p>
      <w:r>
        <w:t>Partant, les griefs des recourants relatifs à l'origine illicite des informations ayant conduit à la demande d'assistance ainsi qu'à la violation du principe de la bonne foi doivent être écartés.</w:t>
      </w:r>
    </w:p>
    <w:p>
      <w:r>
        <w:rPr>
          <w:b/>
        </w:rPr>
        <w:t>E. 5.3</w:t>
      </w:r>
    </w:p>
    <w:p>
      <w:r>
        <w:t>Les recourants invoquent enfin une violation du secret bancaire dans le cadre de la collecte de renseignements effectuée par l'AFC auprès d'X._______ Switzerland. Cette institution, fondée en 2015 (et avec laquelle les intéressés n'auraient jamais entretenu la moindre relation d'affaires), ne pourrait être la banque légitimement détentrice d'informations concernant un compte clos en 2014 auprès d'X._______ AG. En effet, en l'absence de consentement exprès donné par les recourants, X._______ SA aurait violé l'art. 47 LB en communiquant à X._______ SWITZERLAND SA des données les concernant, vu que ceux-ci n'avaient jamais entretenu de relation contractuelle avec X._______ SWITZERLAND SA. Dès lors, l'assistance administrative ne saurait être donnée à l'égard d'informations recueillies par l'autorité requise en violation de son propre droit et par des moyens illicites, sous peine de violer les art. 25a PA, 25 LPD, ainsi que 8 et 13 LAAF.</w:t>
      </w:r>
    </w:p>
    <w:p>
      <w:r>
        <w:rPr>
          <w:b/>
        </w:rPr>
        <w:t>E. 5.3.1</w:t>
      </w:r>
    </w:p>
    <w:p>
      <w:r>
        <w:t>L'art. 28 par. 5 CDI CH-FR dispose qu'en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Dans l'arrêt publié à l'ATF 142 II 161, le TF a jugé que le libellé de l'art. 28 par. 5 2e phrase CDI CH-FR qui exclut, par une double formulation (« nonobstant le par. 3 ou toute disposition contraire du droit interne »), que le droit interne puisse s'opposer à la transmission d'informations visées à ce paragraphe, était suffisamment clair pour être directement applicable. L'applicabilité directe de cette norme impliquait non seulement que le secret bancaire protégé aux art. 127 al. 2 de la loi fédérale du 14 décembre 1990 sur l'impôt fédéral direct (LIFD, RS 642.11) et 47 LB ne pouvait pas être opposé par la Suisse pour refuser la transmission de documents détenus par une banque, mais également que l'Administration fédérale disposait par là des pouvoirs de procédure nécessaires pour obtenir les renseignements bancaires vraisemblablement pertinents, nonobstant toute disposition de droit interne (arrêt du TF 2C_904/2015 du 8 décembre 2016 consid. 5.2). Au surplus, si les informations requises se trouvent chez un autre détenteur (p. ex. le successeur en droit de l'institution bancaire), l'AFC peut requérir celui-ci, étant donné que la demande d'assistance doit être interprétée selon le principe de la bonne foi (cf. arrêts du TAF A-4353/2016 du 27 février 2017 [Faits let. A.d], A-4407/2014 du 8 décembre 2014 [Faits let. c] ; cf. arrêt du TF 2C_287/2019, 2C_288/2019 du 13 juillet 2020 consid. 3.2 s.). En l'occurrence, c'est à bon droit que l'AFC a obtenu d'X._______ Switzerland les informations requises.</w:t>
      </w:r>
    </w:p>
    <w:p>
      <w:r>
        <w:rPr>
          <w:b/>
        </w:rPr>
        <w:t>E. 5.3.2</w:t>
      </w:r>
    </w:p>
    <w:p>
      <w:r>
        <w:t>Au vu de ce qui précède, les recourants ne sauraient se prévaloir du secret fiscal pour faire obstacle à l'assistance administrative requise par la France. Ce grief est dès lors également écarté.</w:t>
      </w:r>
    </w:p>
    <w:p>
      <w:r>
        <w:rPr>
          <w:b/>
        </w:rPr>
        <w:t>E. 6.1</w:t>
      </w:r>
    </w:p>
    <w:p>
      <w:r>
        <w:t>Vu les considérants qui précèdent, le recours est rejeté. 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