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F-1545/2016 vom 10. Januar 2018</w:t>
      </w:r>
    </w:p>
    <w:p>
      <w:r>
        <w:t>Bundesverwaltungsgericht, 2018-01-10, DE</w:t>
      </w:r>
    </w:p>
    <w:p>
      <w:r>
        <w:rPr>
          <w:b/>
        </w:rPr>
        <w:t xml:space="preserve">Quelle: </w:t>
      </w:r>
      <w:r>
        <w:t>https://mcp.opencaselaw.ch/entscheid/bvger_F-1545_2016</w:t>
      </w:r>
    </w:p>
    <w:p>
      <w:r>
        <w:t>FR: TAF F-1545/2016 du 10 janvier 2018</w:t>
      </w:r>
    </w:p>
    <w:p>
      <w:r>
        <w:t>IT: TAF F-1545/2016 del 10 gennaio 2018</w:t>
      </w:r>
    </w:p>
    <w:p>
      <w:pPr>
        <w:pStyle w:val="Heading2"/>
      </w:pPr>
      <w:r>
        <w:t>Regeste</w:t>
      </w:r>
    </w:p>
    <w:p>
      <w:r>
        <w:t>Visum aus humanitären Gründen (VrG)</w:t>
      </w:r>
    </w:p>
    <w:p>
      <w:pPr>
        <w:pStyle w:val="Heading2"/>
      </w:pPr>
      <w:r>
        <w:t>Erwägungen</w:t>
      </w:r>
    </w:p>
    <w:p>
      <w:r>
        <w:rPr>
          <w:b/>
        </w:rPr>
        <w:t>E. 1.1</w:t>
      </w:r>
    </w:p>
    <w:p>
      <w:r>
        <w:t>Von der Vorinstanz erlassene Entscheide bezüglich die Verweigerung eines Visums sind mit Beschwerde beim Bundesverwaltungsgericht anfechtbar (vgl. Art. 31 ff. VGG i.V.m. Art. 5 VwVG).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gemäss Art. 48 Abs. 1 VwVG zur Beschwerde berechtigt. Auf die im Übrigen frist- und formgerecht eingereichte Beschwerde ist somit einzutreten (Art. 50 und Abs. 52 VwVG).</w:t>
      </w:r>
    </w:p>
    <w:p>
      <w:r>
        <w:rPr>
          <w:b/>
        </w:rPr>
        <w:t>E. 1.4</w:t>
      </w:r>
    </w:p>
    <w:p>
      <w:r>
        <w:t>Gestützt auf Art. 57 Abs. 1 e contrario VwVG wurde vorliegend auf einen Schriftenwechsel und andere Instruktionsmassnahmen verzichtet, da sich die Beschwerde angesichts der nachfolgenden Erwägungen als von vornherein unbegründet im Sinne dieser Bestimmung erweist (vgl. E. 6).</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des Entscheids (vgl. BVGE 2014/1 E. 2 m.w.H.).</w:t>
      </w:r>
    </w:p>
    <w:p>
      <w:r>
        <w:rPr>
          <w:b/>
        </w:rPr>
        <w:t>E. 3</w:t>
      </w:r>
    </w:p>
    <w:p>
      <w:r>
        <w:t>Mit dem Schengen-Assoziierungsabkommen hat die Schweiz das Schengen-Recht übernommen. Die im Ausländergesetz (AuG, SR 142.20) und seinen Ausführungsbestimmungen enthaltenen Regelungen über das Visumverfahren und über die Ein- und Ausreise - insbesondere der Verordnung vom 22. Oktober 2008 über die Einreise und die Visumerteilung (VEV, SR 142.204) - gelangen nur soweit zur Anwendung, als die Schengen-Assoziierungsabkommen keine abweichenden Bestimmungen enthalten (vgl. Art. 2 Abs. 2-5 AuG).</w:t>
      </w:r>
    </w:p>
    <w:p>
      <w:r>
        <w:rPr>
          <w:b/>
        </w:rPr>
        <w:t>E. 4.1</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4.2</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4.3</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7. März 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4.4</w:t>
      </w:r>
    </w:p>
    <w:p>
      <w:r>
        <w:t>Der Bundesrat hält in seiner Botschaft zur Änderung des Asylgesetzes vom 26. Mai 2010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4.5</w:t>
      </w:r>
    </w:p>
    <w:p>
      <w:r>
        <w:t>Aufgrund ihrer sri-lankischen Staatsangehörigkeit sind die Beschwerdeführerin und deren Angehörige nach Massgabe des Anhangs I der EU-Visa-Verordnung Drittstaatsangehörige, die der Visumspflicht unterliegen. Dementsprechend ist zu prüfen, ob die Vorinstanz die Voraussetzungen zur Erteilung eines Schengen-Visums (vgl. nachfolgend E. 5) sowie eines Visums aus humanitären Gründen (vgl. nachfolgend E. 6) zu Recht verneint hat.</w:t>
      </w:r>
    </w:p>
    <w:p>
      <w:r>
        <w:rPr>
          <w:b/>
        </w:rPr>
        <w:t>E. 5</w:t>
      </w:r>
    </w:p>
    <w:p>
      <w:r>
        <w:t>Die Beschwerdeführerin und ihre Angehörigen haben weder die Absicht eines langfristigen Aufenthalts in der Schweiz noch die damit einhergehenden fehlenden Voraussetzungen zur Erteilung eines Schengen-Visums bestritten; vielmehr machten sie geltend, sie wollten in die Schweiz einreisen, um hier um Asyl nachzusuchen. In Anbetracht der geltend gemachten humanitären Gründe hat die Vorinstanz zu Recht die Erteilung eines Visums für den gesamten Schengen-Raum verweigert. Auf die einzelnen Einreisevoraussetzungen ist folglich nicht weiter einzugehen.</w:t>
      </w:r>
    </w:p>
    <w:p>
      <w:r>
        <w:rPr>
          <w:b/>
        </w:rPr>
        <w:t>E. 6.1</w:t>
      </w:r>
    </w:p>
    <w:p>
      <w:r>
        <w:t>Da nach dem Gesagten die Ausstellung von Schengen-Visa ausser Betracht fällt, stellt sich die weitere Frage, ob der Beschwerdeführerin und ihren Angehörigen nicht eine unmittelbare, ernsthafte und konkrete Gefahr für Leib und Leben drohe, welche die Ausstellung von humanitären Visa rechtfertigen würde. In diesem Zusammenhang erkennt das Bundesverwaltungsgericht aufgrund der Akten durchaus, dass sich die Beschwerdeführerin auf eine schwierige Situation in Sri Lanka beruft. Indessen erweist es sich als schwierig, in den Vorbringen der Beschwerdeführerin Realkennzeichen zu eruieren, welche den Schluss nahelegen könnten, die Vorbringen hätten einen ausreichenden Realitätsbezug. So macht die Beschwerdeführerin in ihrem Schreiben vom 9. September 2015 an den Schweizer Botschafter zu Colombo etwa geltend (vgl. Akten Vorinstanz S. 78-80), der sri-lankische Geheimdienst (Criminal Investigation Departement; CID) habe sich angesichts der Aktivitäten ihres Schwagers bei den LTTE sowohl mit ihrem Ehemann als auch mit ihr selbst befasst, indem er sie häufig verhört habe. Sie seien sogar von bewaffneten Unbekannten mit dem Tod bedroht worden, weshalb sie vom Flughafen Colombo aus nach Indien geflogen beziehungsweise geflüchtet seien. Dies sei ihnen dank der Hilfe eines Agenten der Regierung gelungen. Indessen erscheinen derlei Vorbringen wirklichkeitsfremd, zumal der Flughafen von Colombo schon zum damaligen Zeitpunkt sorgfältig überwacht wurde. Wenn der Beschwerdeführerin und ihrem Ehemann somit die Ausreise auf dem Luftweg möglich war, muss dies daran gelegen haben, dass die sri-lankischen Behörden damals kein wie auch immer geartetes Interesse an ihnen gehabt haben, andernfalls ihre Ausreise nicht möglich gewesen wäre. Zutreffend dürfte demgegenüber das mit zahlreichen Beweismitteln belegte Vorbringen der Beschwerdeführerin sein, sie sei als Nachrichtensprecherin für tamilische Sender tätig gewesen, darunter auch solche, welche für die tamilische Diaspora in Europa produzierten (vgl. Vorakten S. 101-103). Dies würde an sich ein gewisses Interesse der sri-lankischen Sicherheitsbehörden an der Beschwerdeführerin begründen. In diesem Sinne erscheint das Vorbringen, die Familie sei im August 2015 nach Sri Lanka gereist und bereits am Gate von Beamten der Sicherheitsdienste abgefangen und in der Folge befragt worden, durchaus glaubhaft. Möglich erscheint auch, dass die Beschwerdeführerin und ihr Mann einige Stunden unfreiwillig im Flughafen verbracht haben. Als wirklichkeitsfremd erweist sich dagegen das Vorbringen, sie seien gegen einen Betrag von nahezu 5'000 Schweizer Franken von einem Beamten des Geheimdienstes zum Ausgang des Flughafens begleitet und illegal freigelassen worden. Dies erscheint schon deshalb unplausibel, weil der entsprechende Beamte unter den gegebenen Umständen ohne Weiteres ermittelt werden könnte, weshalb sich eher der Eindruck aufdrängt, die Behörden seien zum Schluss gekommen, es liege nichts gegen die Beschwerdeführerin und ihren Ehemann vor. Zu diesem Schluss führt auch das Vorbringen, ihre Mutter habe zu einem späteren Zeitpunkt den Beamten mitgeteilt, die Beschwerdeführerin und ihr Mann hätten das Land in der Zwischenzeit wieder verlassen. Trotzdem hätten sie sich auf dem offiziellen Weg neue Reisepässe ausstellen lassen können. Dies dürfte im Hinblick auf das Prozedere bei der Ausstellung von Reisepässen ausgeschlossen sein, weshalb davon auszugehen ist, die sri-lankischen Behörden hätten die Möglichkeit gehabt, die Beschwerdeführerin oder andere Familienangehörige festzunehmen, wenn sie dafür einen Anlass gehabt hätten. Ausserdem ergäbe sich auch aufgrund des Schreibens vom 9. März 2016 der Beschwerdeführerin, dass die Behörden aufgrund einer Observation zumindest wissen müssten, wo sich die Beschwerdeführerin aufhält. Trotzdem unternahmen die sri-lankischen Behörden nichts, was nur mit grundsätzlichem Desinteresse zu erklären ist. Unter diesen Umständen kann nicht von einer besonderen Notsituation, welche ein behördliches Eingreifen unausweichlich machen würde, die Rede sein. Ebenso wenig kann der Ansicht der Beschwerdeführerin, wonach einzig eine Flucht ins Ausland sie schützen könne, gefolgt werden. Ohnehin verfügten die Beschwerdeführerin und ihr Mann wohl auch noch über die Möglichkeit, sich wieder in Indien niederzulassen, zumal das für diesen Staat nachträglich geltend gemachte Einreiseverbot nicht belegt ist. Nach dem Gesagten vermochten die Vorbringen der Beschwerdeführerin den hohen Anforderungen an eine Gefährdungslage, welche die Erteilung von humanitären Visa zu rechtfertigen vermag, nicht zu genügen, weil sie ausserstande war, diese hinreichend substantiiert darzulegen. Demnach sind keine hinreichenden Gründe ersichtlich, die es rechtfertigen würden, der Beschwerdeführerin und ihren Angehörigen - im Gegensatz zu anderen Personen - ein Einreisevisum zu erteilen, zumal ein solches auch keine Entschädigung für allenfalls erlittenes Unrecht in der Vergangenheit darstellt. Die Vorinstanz hat die Erteilung von humanitären Visa dementsprechend zu Recht verweigert.</w:t>
      </w:r>
    </w:p>
    <w:p>
      <w:r>
        <w:rPr>
          <w:b/>
        </w:rPr>
        <w:t>E. 6.2</w:t>
      </w:r>
    </w:p>
    <w:p>
      <w:r>
        <w:t>Zusammenfassend ist nach Prüfung der Akten festzuhalten, dass vorliegend weder die Voraussetzungen für die Erteilung eines Schengen-Visums noch eines humanitären Visums erfüllt sind.</w:t>
      </w:r>
    </w:p>
    <w:p>
      <w:r>
        <w:rPr>
          <w:b/>
        </w:rPr>
        <w:t>E. 7</w:t>
      </w:r>
    </w:p>
    <w:p>
      <w:r>
        <w:t>Aus den vorstehenden Erwägungen folgt, dass sich die angefochtene Ver-fügung im Lichte von Art. 49 VwVG als rechtmässig erweist. Die Beschwerde ist daher abzuweisen.</w:t>
      </w:r>
    </w:p>
    <w:p>
      <w:r>
        <w:rPr>
          <w:b/>
        </w:rPr>
        <w:t>E. 8</w:t>
      </w:r>
    </w:p>
    <w:p>
      <w:r>
        <w:t>Bei diesem Ausgang des Verfahrens wären die Kosten grundsätzlich der unterliegenden Beschwerdeführerin aufzuerlegen (Art. 63 Abs. 1 VwVG). Im vorliegenden Fall ist jedoch angesichts der langen Verfahrensdauer in Anwendung von Art. 63 Abs. 1 in fine VwVG und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