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F-1537/2025 vom 25. Februar 2025</w:t>
      </w:r>
    </w:p>
    <w:p>
      <w:r>
        <w:t>Bundesverwaltungsgericht, 2025-02-25, FR</w:t>
      </w:r>
    </w:p>
    <w:p>
      <w:r>
        <w:rPr>
          <w:b/>
        </w:rPr>
        <w:t xml:space="preserve">Quelle: </w:t>
      </w:r>
      <w:r>
        <w:t>https://mcp.opencaselaw.ch/entscheid/bvger_F-1537_2025_d20250225</w:t>
      </w:r>
    </w:p>
    <w:p>
      <w:r>
        <w:t>FR: TAF F-1537/2025 du 25 février 2025</w:t>
      </w:r>
    </w:p>
    <w:p>
      <w:r>
        <w:t>IT: TAF F-1537/2025 del 25 febbraio 2025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Asile (non-entrée en matière) et renvoi (réexamen); décision du SEM du 25 février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n’est pas perçu de frais de procédure.</w:t>
      </w:r>
    </w:p>
    <w:p>
      <w:r>
        <w:rPr>
          <w:b/>
        </w:rPr>
        <w:t>E. 3</w:t>
      </w:r>
    </w:p>
    <w:p>
      <w:r>
        <w:t>La présente décision est adressée au recourant, à l'autorité inférieure et à l’autorité cantonale.</w:t>
      </w:r>
    </w:p>
    <w:p>
      <w:r>
        <w:t>La juge unique : La greffière :</w:t>
      </w:r>
    </w:p>
    <w:p>
      <w:r>
        <w:t>Aileen Truttmann Coralie Dorthe-Chatton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