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F-1534/2025 vom 13. März 2025</w:t>
      </w:r>
    </w:p>
    <w:p>
      <w:r>
        <w:t>Bundesverwaltungsgericht, 2025-03-13, DE</w:t>
      </w:r>
    </w:p>
    <w:p>
      <w:r>
        <w:rPr>
          <w:b/>
        </w:rPr>
        <w:t xml:space="preserve">Quelle: </w:t>
      </w:r>
      <w:r>
        <w:t>https://mcp.opencaselaw.ch/entscheid/bvger_F-1534_2025</w:t>
      </w:r>
    </w:p>
    <w:p>
      <w:r>
        <w:t>FR: TAF F-1534/2025 du 13 mars 2025</w:t>
      </w:r>
    </w:p>
    <w:p>
      <w:r>
        <w:t>IT: TAF F-1534/2025 del 13 marzo 2025</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i.V.m.</w:t>
      </w:r>
    </w:p>
    <w:p>
      <w:r>
        <w:t>F-1534/2025 Seite 3 Art. 31 ff. VGG und i.V.m. Art. 5 VwVG). Dieses entscheidet in der vorlie- 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Die Beschwerde wurde frist- und formgerecht ein- gereicht (Art. 108 Abs. 1 AsylG; Art. 52 Abs. 1 VwVG). Auf die Beschwerde ist einzutreten.</w:t>
      </w:r>
    </w:p>
    <w:p>
      <w:r>
        <w:rPr>
          <w:b/>
        </w:rPr>
        <w:t>E. 1.4</w:t>
      </w:r>
    </w:p>
    <w:p>
      <w:r>
        <w:t>Die Beschwerde erweist sich – wie im Folgenden zu zeigen sein wird – als offensichtlich begründet, weshalb sie im Verfahren einzelrichterlicher Zuständigkeit mit Zustimmung einer zweiten Richterin respektive eines zweiten Richters, ohne Durchführung eines Schriftenwechsels und mit summarischer Begründung zu behandeln ist (Art. 111 Bst. e AsylG, Art. 111a Abs. 1 und 2 AsylG).</w:t>
      </w:r>
    </w:p>
    <w:p>
      <w:r>
        <w:rPr>
          <w:b/>
        </w:rPr>
        <w:t>E. 2.1</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AsylG; BVGE 2012/2 E. 3.2.2). Art. 26 FK zielt darauf ab, die Einschrän- kungen der freien Wahl des Aufenthaltsortes und der Bewegungsfreiheit für Flüchtlinge auf ein Minimum zu beschränken. Zulässig sind nur ein- schränkende Bestimmungen, welche für sämtliche Kategorien von auslän- dischen Personen gelten. Abzustellen ist auf diejenigen Einschränkungen, welche auf ausländische Personen mit einer Niederlassungsbewilligung</w:t>
      </w:r>
    </w:p>
    <w:p>
      <w:r>
        <w:t>F-1534/2025 Seite 4 anwendbar sind. Nach bisheriger Rechtsprechung begründet Art. 26 FK für Flüchtlinge einen Anspruch auf Kantonszuweisung beziehungsweise - wechsel in gleichem Umfange, wie er einer niedergelassenen Person ge- stützt auf Art. 37 Abs. 3 AIG zusteht (vgl. BVGE 2012/2 E. 5.2.2 sowie Ur- teile des BVGer F-687/2025 vom 14. Februar 2025 E. 2.2; F-7843/2024, F-7844/2024 vom 3. Februar 2025 E. 2.2; F-270/2025 vom 23. Januar 2025 E. 2.2; F-7070/2024 vom 26. November 2024 E. 2.2; F-1642/2024 vom 16. Mai 2024 E. 3.1; jeweils m.w.H.). Der Gesetzgeber hat mit der am 1. Juni 2024 in Kraft getretenen Bestim- mung von Art. 85b Abs. 5 AIG die erwähnte Rechtsprechung ausdrücklich betreffend die Personengruppe von vorläufig aufgenommenen Flüchtlin- gen "konkretisiert". So richtet sich der Kantonswechsel von vorläufig auf- genommenen Flüchtlingen nun explizit nach dem Anspruch auf Kantons- wechsel von Personen mit Aufenthaltsbewilligung (Art. 37 Abs. 2 AIG) und nicht (mehr) nach demjenigen von Personen mit Niederlassungsbewilli- gung (Art. 37 Abs. 3 AIG). Die Frage, ob im vorliegenden Fall Anlass für eine Änderung der Recht- sprechung besteht (siehe zu den Voraussetzungen hierfür BGE 147 V 342 E. 5.5.1 m.H.), kann jedoch offengelassen werden. Wohl lässt sich eine Praxisänderung unter anderem dann begründen, wenn die neue Lösung besserer Erkenntnis des Gesetzeszwecks entspricht. Beim Beschwerde- führer handelt es sich aber nicht um einen vorläufig aufgenommenen Flüchtling, sondern um einen Flüchtling mit Asylstatus; zudem erging die angefochtene Kantonszuweisung gleichzeitig mit dem Asylentscheid.</w:t>
      </w:r>
    </w:p>
    <w:p>
      <w:r>
        <w:rPr>
          <w:b/>
        </w:rPr>
        <w:t>E. 2.3</w:t>
      </w:r>
    </w:p>
    <w:p>
      <w:r>
        <w:t>Mit der angefochtenen Verfügung vom 25. Februar 2025 hat die Vor- instanz dem Beschwerdeführer die Flüchtlingseigenschaft zuerkannt und Asyl gewährt. Sie hat es aber unterlassen, sich mit seinem daraus folgen- den grundsätzlichen Anspruch auf freie Wahl des Kantons, in dem er sich niederlassen möchte, auseinanderzusetzen. Damit hat sie in ihrer Begrün- dung einen wesentlichen Aspekt ausser Acht gelassen, was einer Verlet- zung des rechtlichen Gehörs gleichkommt (Art. 29 Abs. 2 BV; Art. 35 VwVG; vgl. BGE 149 V 156 E. 6.1). Zudem hat sie sich nicht mit der Frage auseinandergesetzt, ob einer Zuweisung des Beschwerdeführers in den Kanton C._______ Widerrufsgründe im Sinne von Art. 63 AIG entgegen- stehen könnten. Auch in diesem Punkt erweist sich der Sachverhalt als un- vollständig abgeklärt und der Untersuchungsgrundsatz als verletzt (Art. 6 AsylG i.V.m. Art. 12 VwVG; Art. 49 Bst. b VwVG).</w:t>
      </w:r>
    </w:p>
    <w:p>
      <w:r>
        <w:t>F-1534/2025 Seite 5</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Ferner kann der Be- schwerdeführer nicht auf die nachträgliche Einreichung eines Gesuchs um Kantonswechsel verwiesen werden (vgl. Art. 60 Abs. 1 AsylG). Dispositiv- ziffer 3 der angefochtenen Verfügung vom 25. Februar 2025 ist deshalb aufzuheben und die Sache zur vollständigen und richtigen Sachverhalts- abklärung im Sinne der Erwägungen sowie zu neuer Entscheidung an die Vorinstanz zurückzuweisen.</w:t>
      </w:r>
    </w:p>
    <w:p>
      <w:r>
        <w:rPr>
          <w:b/>
        </w:rPr>
        <w:t>E. 3</w:t>
      </w:r>
    </w:p>
    <w:p>
      <w:r>
        <w:t>Die Beschwerde ist somit gutzuheissen. Die Dispositivziffer 3 der Verfü- gung vom 25. Februar 2025 ist aufzuheben und die Sache zur vollständi- gen und richtigen Sachverhaltsabklärung im Sinne der Erwägungen sowie zur neuen Entscheidung an die Vorinstanz zurückzuweisen.</w:t>
      </w:r>
    </w:p>
    <w:p>
      <w:r>
        <w:rPr>
          <w:b/>
        </w:rPr>
        <w:t>E. 4.1</w:t>
      </w:r>
    </w:p>
    <w:p>
      <w:r>
        <w:t>Bei diesem Verfahrensausgang sind keine Kosten zu erheben (Art. 63 Abs. 1 und 2 VwVG). Die Gesuche um unentgeltliche Prozessführung und Verzicht auf die Erhebung eines Kostenvorschusses sind mit dem vorlie- genden Entscheid in der Sache gegenstandslos geworden.</w:t>
      </w:r>
    </w:p>
    <w:p>
      <w:r>
        <w:rPr>
          <w:b/>
        </w:rPr>
        <w:t>E. 4.2</w:t>
      </w:r>
    </w:p>
    <w:p>
      <w:r>
        <w:t>Eine Parteientschädigung ist nicht auszurichten, da es sich vorliegend um eine zugewiesene unentgeltliche Rechtsvertretung im Sinne von Art. 102h AsylG handelt, deren Leistungen vom Bund nach Massgabe von Art. 102k AsylG entschädigt werden (vgl. auch Art. 111ater AsylG). (Dispositiv: nächste Seite)</w:t>
      </w:r>
    </w:p>
    <w:p>
      <w:r>
        <w:t>F-1534/2025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