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F-1530/2024 vom 15. März 2024</w:t>
      </w:r>
    </w:p>
    <w:p>
      <w:r>
        <w:t>Bundesverwaltungsgericht, 2024-03-15, FR</w:t>
      </w:r>
    </w:p>
    <w:p>
      <w:r>
        <w:rPr>
          <w:b/>
        </w:rPr>
        <w:t xml:space="preserve">Quelle: </w:t>
      </w:r>
      <w:r>
        <w:t>https://mcp.opencaselaw.ch/entscheid/bvger_F-1530_2024</w:t>
      </w:r>
    </w:p>
    <w:p>
      <w:r>
        <w:t>FR: TAF F-1530/2024 du 15 mars 2024</w:t>
      </w:r>
    </w:p>
    <w:p>
      <w:r>
        <w:t>IT: TAF F-1530/2024 del 15 marzo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applicables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A titre liminaire, il convient d'examiner le grief formel implicitement soulevé par le recourant. En effet, celui-ci a reproché à l'autorité intimée d'avoir rendu sa décision avant de connaître le résultat d'un scanner des poumons et de la cage thoracique effectué le 21 février 2024, manquant ainsi à son devoir d'instruction en lien avec son état de santé.</w:t>
      </w:r>
    </w:p>
    <w:p>
      <w:r>
        <w:rPr>
          <w:b/>
        </w:rPr>
        <w:t>E. 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2008/24 consid. 7.2).</w:t>
      </w:r>
    </w:p>
    <w:p>
      <w:r>
        <w:rPr>
          <w:b/>
        </w:rPr>
        <w:t>E. 2.2</w:t>
      </w:r>
    </w:p>
    <w:p>
      <w:r>
        <w:t>Le Tribunal relève qu'au moment où l'autorité a statué, elle disposait de nombreux documents médicaux dont elle a dûment tenu compte. Ainsi, il ressort du dossier que l'intéressé a été examiné, en date du 4 janvier 2024, suite à des expectorations sanguinolentes, des troubles digestifs, de la toux et une suspicion de gale. Le rapport médical conclut à des signes d'une parésie ou d'une paralysie néphrique gauche ainsi qu'une discrète atélectase basale gauche, sans évidence de foyer infectieux ou d'effet de masse suspect. Le 15 janvier 2024, l'intéressé a consulté les urgences médicales, ensuite de quoi les diagnostics de douleurs abdominales d'origine indéterminée, d'épigastralgie d'origine indéterminée, d'hémoptysie d'origine indéterminée et de dyspnée à l'effort dans un contexte probable de paralysie phrénique gauche ont été posés. L'intéressé a également bénéficié de différents examens et scanners, lesquels ont été discutés avec lui le 25 janvier 2024, date à laquelle un autre scanner a également été prévu pour investiguer une parésie diaphragmatique droite. Sur le plan psychique, une symptomatologie thymique à versant dépressif a été diagnostiquée le 18 janvier 2024 et un suivi avec traitement médicamenteux a été mis en place dès le 5 février 2024, suite à un diagnostic de trouble du stress post-traumatique avec troubles de l'adaptation et autres troubles somatoformes. Au vu des éléments qui étaient en sa possession, il ne saurait être fait grief au SEM de ne pas avoir attendu le résultat du scanner effectué le 21 février 2024, celui-ci ayant été prévu pour investiguer une parésie diaphragmatique. Or, s'il ne mentionne pas ce diagnostic précis, le SEM a relevé les conséquences de cette atteinte dans sa décision. Dès lors, il ne saurait lui être reproché de ne pas avoir attendu, dans la mesure où, compte tenu de l'état du recourant et des constatations médicales au dossier, les résultats de ce scanner auraient uniquement permis de préciser le diagnostic et d'affiner le traitement. Enfin, les plaintes du recourant au sujet des « très graves problèmes de santé » dont il dit souffrir, tout comme les différents documents produits à l'appui du recours et qui auraient de toute manière pu être fournis au SEM, ne sauraient suffire à remettre en question ce qui précède, dans la mesure où ses différentes plaintes ont toutes fait l'objet d'investigations et de rapports médicaux circonstanciés.</w:t>
      </w:r>
    </w:p>
    <w:p>
      <w:r>
        <w:rPr>
          <w:b/>
        </w:rPr>
        <w:t>E. 2.3</w:t>
      </w:r>
    </w:p>
    <w:p>
      <w:r>
        <w:t>Par conséquent, le grief formel du recourant doit être rejeté.</w:t>
      </w:r>
    </w:p>
    <w:p>
      <w:r>
        <w:rPr>
          <w:b/>
        </w:rPr>
        <w:t>E. 3.1</w:t>
      </w:r>
    </w:p>
    <w:p>
      <w:r>
        <w:t>Il y a lieu à présent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3.3</w:t>
      </w:r>
    </w:p>
    <w:p>
      <w:r>
        <w:t>Dans une procédure de reprise en charge (anglais : take back), comme en l'espèce,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RD III) et à l'art. 20 par. 5 du règlement Dublin III (cf. ATAF 2019 VI/7 consid. 6.4.1.3, 2017 VI/5 consid. 6.2, 6.3, 8.2.1 et 8.3).</w:t>
      </w:r>
    </w:p>
    <w:p>
      <w:r>
        <w:rPr>
          <w:b/>
        </w:rPr>
        <w:t>E. 3.4</w:t>
      </w:r>
    </w:p>
    <w:p>
      <w:r>
        <w:t>En l'espèce, il ressort des investigations entreprises par le SEM dans la base de données « Eurodac » que le recourant avait déposé une demande d'asile en France, ce que ce dernier a admis, précisant que sa demande avait été rejetée. Le 16 janvier 2024, soit dans le délai de deux mois prescrit par l'art. 23 par. 2 al. 1 du règlement Dublin III, le SEM a soumis aux autorités françaises une requête aux fins de reprise en charge du requérant fondée sur l'art. 18 par. 1 let. d du règlement Dublin III. En date du 25 janvier 2024, soit dans le délai fixé à l'art. 25 par. 1 du règlement Dublin IIII, les autorités susmentionnées ont expressément accepté de reprendre en charge l'intéressé, sur la même base, confirmant implicitement que la demande de l'intéressé avait été rejetée.</w:t>
      </w:r>
    </w:p>
    <w:p>
      <w:r>
        <w:rPr>
          <w:b/>
        </w:rPr>
        <w:t>E. 3.5</w:t>
      </w:r>
    </w:p>
    <w:p>
      <w:r>
        <w:t>La France a ainsi valablement reconnu sa compétence pour poursuivre la procédure d'asile du recourant. L'intéressé ne conteste du reste pas en tant que telle la compétence de ce pays dans son recours. Il s'oppose à son transfert vers ce pays pour d'autres motifs.</w:t>
      </w:r>
    </w:p>
    <w:p>
      <w:r>
        <w:rPr>
          <w:b/>
        </w:rPr>
        <w:t>E. 4.1</w:t>
      </w:r>
    </w:p>
    <w:p>
      <w:r>
        <w:t>Durant son entretien individuel « Dublin » du 15 janvier 2024, l'intéressé a exposé qu'il ne voulait pas retourner en France, car il n'y avait pas reçu de traitement médical adéquat et qu'il ne pourrait plus en recevoir étant donné que sa demande d'asile avait été rejetée. Dans son recours, il avance des arguments de même nature pour s'opposer à son transfert.</w:t>
      </w:r>
    </w:p>
    <w:p>
      <w:r>
        <w:rPr>
          <w:b/>
        </w:rPr>
        <w:t>E. 4.2</w:t>
      </w:r>
    </w:p>
    <w:p>
      <w:r>
        <w:t>Dans ces circonstances, il convient en premier lieu d'examiner, en vertu de l'art. 3 par. 2 al. 2 du règlement Dublin III,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w:t>
      </w:r>
    </w:p>
    <w:p>
      <w:r>
        <w:rPr>
          <w:b/>
        </w:rPr>
        <w:t>E. 4.3</w:t>
      </w:r>
    </w:p>
    <w:p>
      <w:r>
        <w:t>Conformément à une jurisprudence constante et régulièrement actualisée, il n'y a aucune raison de penser qu'il existe en France des défaillances systémiques au sens de l'art. 3 par. 2 RD III (cf. arrêts du TAF F-192/2024 du 12 janvier 2024 consid. 4 et D-7207/2023 du 15 janvier 2024).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Cette présomption peut certes être renversée par des indices sérieux que, dans le cas concret, les autorités de cet Etat ne respecterait pas le droit international (cf. ATAF 2010/45 consid. 7.4 et 7.5; arrêt du TAF E-6975/2023 du 4 janvier 2024).</w:t>
      </w:r>
    </w:p>
    <w:p>
      <w:r>
        <w:rPr>
          <w:b/>
        </w:rPr>
        <w:t>E. 4.4</w:t>
      </w:r>
    </w:p>
    <w:p>
      <w:r>
        <w:t>En l'espèce toutefois, force est de constater que les allégations du recourant suivant lesquelles il n'aurait plus accès aux soins médicaux nécessaires suite au rejet de sa demande d'asile ne sont pas de nature à renverser la présomption précitée. En effet, l'intéressé n'a revêtu ces allégations d'aucune substance matérielle et n'a en particulier pas indiqué avoir saisi les autorités françaises compétentes d'une demande, plainte ou dénonciation à cet égard. Par ailleurs, le fait que le Préfet des Hauts-de-Seine ait rendu un arrêté portant obligation de quitter le territoire français, assorti d'une interdiction de retour, n'est d'aucun secours au requérant, les droits fondamentaux de celui-ci demeurant protégés, même en cas de séjour sans autorisation. De l'appréciation du Tribunal, il n'y a donc pas d'un indice concret, objectif et sérieux permettant de mettre en doute le respect par la France de ses engagements découlant du droit international ou des directives européennes en matière d'asile, que ce soit dans l'examen de la demande d'asile de l'intéressé ou dans le prononcé de son renvoi vers son pays d'origine. De même, il n'y a aucune raison de penser qu'elles procèderaient à son renvoi vers son pays d'origine ou vers un Etat tiers, en violation du principe de non-refoulement. En tout état de cause, c'est auprès des autorités françaises que le recourant devrait se prévaloir de l'ensemble des motifs qui s'opposeraient, selon lui, à un renvoi dans son pays d'origine ou dans un Etat tiers. Rien au dossier n'indique que les autorités françaises n'en auraient pas tenu compte. Cela étant, si l'intéressé devait,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F-7130/2017 du 28 mai 2018 consid. 5).</w:t>
      </w:r>
    </w:p>
    <w:p>
      <w:r>
        <w:rPr>
          <w:b/>
        </w:rPr>
        <w:t>E. 4.5</w:t>
      </w:r>
    </w:p>
    <w:p>
      <w:r>
        <w:t>Il sied enfin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Partant, l'application de l'art. 3 par. 2 al. 2 du règlement Dublin III ne se justifie pas en l'espèce.</w:t>
      </w:r>
    </w:p>
    <w:p>
      <w:r>
        <w:rPr>
          <w:b/>
        </w:rPr>
        <w:t>E. 5.1</w:t>
      </w:r>
    </w:p>
    <w:p>
      <w:r>
        <w:t>En se prévalant de son statut précaire de requérant d'asile débouté par l'Etat français et en invoquant des troubles de santé, le recourant sollicite implicitement l'application la clause de souveraineté (art. 17 par. 1 RD III).</w:t>
      </w:r>
    </w:p>
    <w:p>
      <w:r>
        <w:rPr>
          <w:b/>
        </w:rPr>
        <w:t>E. 5.2</w:t>
      </w:r>
    </w:p>
    <w:p>
      <w:r>
        <w:t>Au sens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(cf., à ce sujet, ATAF 2022 I/6 consid. 4.3.3.1 in fine et les réf. cit.).</w:t>
      </w:r>
    </w:p>
    <w:p>
      <w:r>
        <w:rPr>
          <w:b/>
        </w:rPr>
        <w:t>E. 5.3</w:t>
      </w:r>
    </w:p>
    <w:p>
      <w:r>
        <w:t>Le retour forcé d'une personne touchée dans sa santé n'est, selon la jurisprudence de la Cour européenne des droits de l'homme (cf. arrêt de la Cour EDH Paposhvili c. Belgique du 13 décembre 2016, Grande Chambre, req. n° 41738/10, confirmé dans l'arrête de la Cour EDH Savran c. Danemark du 7 décembre 2021, Grande Chambre, req. 57467/15),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affaire Paposhvili c. Belgique, op. cit. ; ATAF 2017 VI/7 consid. 6.2).</w:t>
      </w:r>
    </w:p>
    <w:p>
      <w:r>
        <w:rPr>
          <w:b/>
        </w:rPr>
        <w:t>E. 5.4</w:t>
      </w:r>
    </w:p>
    <w:p>
      <w:r>
        <w:t>Sans vouloir minimiser les affections dont souffre le recourant, le Tribunal estime que celles-ci ne sont pas graves au point de constituer un obstacle à un transfert vers la France, ce pays étant en mesure d'offrir des soins médicaux adaptés et de garantir l'accès au traitement nécessaires. A ce sujet, le simple fait que des rendez-vous ultérieurs seraient recommandés, ou aient d'ores et déjà été fixés en Suisse, ne saurait empêcher le prononcé (respectivement la confirmation par le Tribunal) d'une décision de non-entrée en matière en application de l'art. 31a al. 1 let. b LAsi (cf. arrêt du TAF D-4235/2021 du 19 avril 2022 consid. 6.3.1, 6.3.2 et 10.5). De plus, rien au dossier n'indique que l'intéressé ne serait pas en mesure de voyager, ni que ses troubles nécessitent impérativement un traitement sur le long cours en Suisse avant de pouvoir envisager un voyage vers la France. La situation du recourant n'est partant pas marquée par des considérations humanitaires impérieuses au sens de la jurisprudence de la Cour EDH précitée (cf. affaire Paposhvili c. Belgique op. cit., §183). En outre, comme déjà précisé, aucun élément concret ne permet de considérer que la France refuserait à l'intéressé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 Dans le cas où la situation actuelle devait évoluer et où le recourant devait avoir besoin de soins particuliers au moment de son transfert vers la France, il lui appartiendra d'en informer les autorités suisses chargées de l'exécution de cette mesure. Le cas échéant, il incombera à celles-ci de transmettre, sous une forme appropriée, aux autorités françaises les renseignements permettant une éventuelle prise en charge médicale spécifique (art. 31 et 32 du règlement Dublin III).</w:t>
      </w:r>
    </w:p>
    <w:p>
      <w:r>
        <w:rPr>
          <w:b/>
        </w:rPr>
        <w:t>E. 5.5</w:t>
      </w:r>
    </w:p>
    <w:p>
      <w:r>
        <w:t>Au vu de ce qui précède, le transfert du recourant vers la France n'est pas contraire aux obligations de la Suisse découlant de ses obligations internationales. Le SEM n'était donc pas tenu de renoncer au transfert et d'examiner lui-même la demande d'asile de l'intéressé.</w:t>
      </w:r>
    </w:p>
    <w:p>
      <w:r>
        <w:rPr>
          <w:b/>
        </w:rPr>
        <w:t>E. 5.6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le recourant de voir sa procédure d'asile menée par la Suisse. Contrairement à l'argumentation développée par le recourant, la motivation du SEM, comprenant une pesée des intérêts, tenant compte en particulier de l'état de santé du requérant, est fondée en fait et en droit, y compris au regard du principe de la proportionnalité.</w:t>
      </w:r>
    </w:p>
    <w:p>
      <w:r>
        <w:rPr>
          <w:b/>
        </w:rPr>
        <w:t>E. 6.1</w:t>
      </w:r>
    </w:p>
    <w:p>
      <w:r>
        <w:t>Au regard de l'ensemble des éléments qui précèdent, c'est à bon droit que le SEM n'est pas entré en matière sur la demande d'asile de l'intéressé, en application de l'art. 31a al. 1 let. b LAsi, et qu'il a prononcé son transfert vers la France conformément à l'art. 44 phr. 1 LAsi, étant précisé qu'aucune exception à la règle générale du renvoi n'est réalisée (cf. art. 32 OA 1). Le recours est par conséquent rejeté.</w:t>
      </w:r>
    </w:p>
    <w:p>
      <w:r>
        <w:rPr>
          <w:b/>
        </w:rPr>
        <w:t>E. 6.2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6.3</w:t>
      </w:r>
    </w:p>
    <w:p>
      <w:r>
        <w:t>Dans la mesure où il a été immédiatement statué sur le fond, les requêtes d'octroi de l'effet suspensif et d'exemption du paiement d'une avance de frais sont sans objet. Le litige prenant fin, les mesures superprovisionnelles prononcées le 11 mars 2024 sont caduques.</w:t>
      </w:r>
    </w:p>
    <w:p>
      <w:r>
        <w:rPr>
          <w:b/>
        </w:rPr>
        <w:t>E. 7</w:t>
      </w:r>
    </w:p>
    <w:p>
      <w:r>
        <w:t>Les conclusions du recours étant d'emblée vouées à l'échec, la requête d'assistance judiciaire totale est rejetée (cf. art. 65 al. 1 PA et 102m al. 1 LAsi).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