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F-1525/2022 vom 2. Mai 2022</w:t>
      </w:r>
    </w:p>
    <w:p>
      <w:r>
        <w:t>Bundesverwaltungsgericht, 2022-05-02, IT</w:t>
      </w:r>
    </w:p>
    <w:p>
      <w:r>
        <w:rPr>
          <w:b/>
        </w:rPr>
        <w:t xml:space="preserve">Quelle: </w:t>
      </w:r>
      <w:r>
        <w:t>https://mcp.opencaselaw.ch/entscheid/bvger_F-1525_2022</w:t>
      </w:r>
    </w:p>
    <w:p>
      <w:r>
        <w:t>FR: TAF F-1525/2022 du 2 mai 2022</w:t>
      </w:r>
    </w:p>
    <w:p>
      <w:r>
        <w:t>IT: TAF F-1525/2022 del 2 maggio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</w:t>
      </w:r>
    </w:p>
    <w:p>
      <w:r>
        <w:t>Il giudice unico: Il cancelliere:</w:t>
      </w:r>
    </w:p>
    <w:p>
      <w:r>
        <w:t>Daniele Cattaneo Dario Quirici</w:t>
      </w:r>
    </w:p>
    <w:p>
      <w:r>
        <w:t>Data di spedizione:</w:t>
      </w:r>
    </w:p>
    <w:p>
      <w:r>
        <w:t>F-1525/2022 Pagina 12 Comunicazione: – rappresentante del ricorrente (per raccomandata; allegato: bollettino di versamento); – SEM, CFA Chiasso, ad …; – all’Ufficio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