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F-1517/2020 vom 15. April 2020</w:t>
      </w:r>
    </w:p>
    <w:p>
      <w:r>
        <w:t>Bundesverwaltungsgericht, 2020-04-15, FR</w:t>
      </w:r>
    </w:p>
    <w:p>
      <w:r>
        <w:rPr>
          <w:b/>
        </w:rPr>
        <w:t xml:space="preserve">Quelle: </w:t>
      </w:r>
      <w:r>
        <w:t>https://mcp.opencaselaw.ch/entscheid/bvger_F-1517_2020</w:t>
      </w:r>
    </w:p>
    <w:p>
      <w:r>
        <w:t>FR: TAF F-1517/2020 du 15 avril 2020</w:t>
      </w:r>
    </w:p>
    <w:p>
      <w:r>
        <w:t>IT: TAF F-1517/2020 del 15 aprile 2020</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L'intéressé - qui n'est plus représenté en procédure judiciaire - a qualité pour recourir (art. 48 al. 1 PA, applicable par renvoi de l'art. 37 LTAF).</w:t>
      </w:r>
    </w:p>
    <w:p>
      <w:r>
        <w:rPr>
          <w:b/>
        </w:rPr>
        <w:t>E. 1.3</w:t>
      </w:r>
    </w:p>
    <w:p>
      <w:r>
        <w:t>Par ailleurs, le recours, interjeté dans la forme (art. 52 al. 1 PA) et le délai (art. 108 al. 3 LAsi) prescrits par la loi,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2012/4 consid. 2.2; 2009/54 consid. 1.3.3).</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al. 1 let. d du règlement Dublin III).</w:t>
      </w:r>
    </w:p>
    <w:p>
      <w:r>
        <w:rPr>
          <w:b/>
        </w:rPr>
        <w:t>E. 3.3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 cf. ATAF 2015/9 consid. 8.2.2; 2012/4 consid. 2.4. in fine, et réf. cit.).</w:t>
      </w:r>
    </w:p>
    <w:p>
      <w:r>
        <w:rPr>
          <w:b/>
        </w:rPr>
        <w:t>E. 4</w:t>
      </w:r>
    </w:p>
    <w:p>
      <w:r>
        <w:t>En l'occurrence, les investigations entreprises par le SEM ont révélé que le recourant avait déposé une demande d'asile en Roumanie en novembre 2019 - laquelle a été définitivement rejetée en décembre suivant faute d'appel du recourant -, ainsi qu'en Autriche en janvier 2020. Les autorités roumaines ayant expressément accepté de reprendre en charge l'intéressé elles ont reconnu leur compétence pour traiter sa demande d'asile sur la base de l'art. 18 al. 1 let. d du règlement Dublin III. Ce point n'est d'ailleurs pas contesté.</w:t>
      </w:r>
    </w:p>
    <w:p>
      <w:r>
        <w:rPr>
          <w:b/>
        </w:rPr>
        <w:t>E. 5.1</w:t>
      </w:r>
    </w:p>
    <w:p>
      <w:r>
        <w:t>En l'espèce, le recourant s'oppose à son transfert vers la Roumanie en niant y avoir déposé une demande d'asile et en indiquant souffrir de douleurs au pied droit, dans lequel il aurait reçu une balle lors de son séjour en Grèce. Le Tribunal prend position comme suit.</w:t>
      </w:r>
    </w:p>
    <w:p>
      <w:r>
        <w:rPr>
          <w:b/>
        </w:rPr>
        <w:t>E. 5.2</w:t>
      </w:r>
    </w:p>
    <w:p>
      <w:r>
        <w:t>Tout d'abord, il n'y a aucune raison sérieuse de croire qu'il existe en Roumanie des défaillances systémiques dans la procédure d'asile et les conditions d'accueil des demandeurs, qui entrainent un risque de traitement inhumain ou dégradant au sens de l'art. 4 de la Charte UE (cf. art. 3 par. 2 2ème phrase du règlement Dublin III ; voir à ce sujet l'arrêt du TAF F-1284/2020 du 10 mars 2020 consid. 4.2). En effet, ce pays est lié à la Charte des droits fondamentaux de l'Union européenne (JO C 364/1 du 18.12.2000)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Ainsi, l'application de l'art. 3 par. 2 du règlement Dublin III ne se justifie pas en l'espèce.</w:t>
      </w:r>
    </w:p>
    <w:p>
      <w:r>
        <w:rPr>
          <w:b/>
        </w:rPr>
        <w:t>E. 5.3</w:t>
      </w:r>
    </w:p>
    <w:p>
      <w:r>
        <w:t>La présomption de sécurité peut être renversée en présence d'indices sérieux que, dans le cas concret, les autorités de l'Etat membre désigné comme étant responsable ne respecteraient pas le droit international (cf. ATAF 2010/45 consid. 7.4 et 7.5). Or, dans le cas particulier, le recourant n'a aucunement établi qu'il pourrait être soumis à des conditions d'accueil à ce point mauvaises qu'il pourrait être victime de traitements contraires à l'art. 3 CEDH. Il n'a en effet apporté aucun indice objectif, concret et sérieux qu'il serait lui-même privé durablement de tout accès aux conditions matérielles minimales d'accueil prévues par la directive Accueil au point qu'il faudrait renoncer à son transfert. Au demeurant, si - après son retour en Roumanie - le requérant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 de faire valoir ses droits directement auprès des autorités roumaines, en usant des voies de droit adéquates (cf. art. 26 directive Accueil). Quant aux douleurs au pied mentionnées, on précisera que la balle a été retirée du pied en Grèce, où le recourant a séjourné pendant deux ans, dont notamment une en prison, et que le recourant n'a pas vu un médecin à ce sujet (pce N 13/2). Cela dit, le SEM lui a rappelé qu'il lui appartenait de faire valoir toute atteinte à sa santé qui pourrait s'avérer déterminante, de sorte qu'il lui appartenait de consulter l'infirmerie du centre fédéral (pce N 13/2). Or aucune pièce, médicale ou non, ne vient étayer l'allégation faite par le recourant dans son recours, selon laquelle il n'aurait reçu aucun traitement, malgré ses demandes en ce sens. En conséquence, de deux choses l'une : soit l'état de santé ne nécessite aucun traitement, soit le recourant n'a obtenu aucun rendez-vous médical, ne serait-ce que par téléphone, ce qui paraît invraisemblable. De toute manière, il y a lieu de relever que si les douleurs sont avérées, elles pourront être traitées en Roumanie et ne constituent en soi pas un obstacle au renvoi du recourant en ce pays. En effet, la Roumanie,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A toutes fins utiles, on remarquera que le recourant a déclaré sporadiquement dans son recours ne pas avoir voulu déposer une demande d'asile en Roumanie, pensant que ses empreintes n'avaient été enregistrées que pour des motifs pénaux. Devant l'autorité inférieure, il a en revanche allégué avoir été forcé à déposer une demande d'asile en Roumanie tout en manifestant son accord à retourner dans ce pays (pce N 13/2). Les propos du recourant restent ainsi pour le moins sujets à caution. En outre, il ressort du dossier que la Roumanie a rejeté la demande d'asile du recourant, décision devenue définitive puisque ce dernier n'a pas fait appel (pce N 24/1). A cet égard, il convient de préciser qu'une décision définitive de refus d'asile et de renvoi vers le pays d'origine ne constitue pas, en soi, une violation du principe de non-refoulement (cf. notamment arrêt du TAF F-7179/2017 du 22 décembre 2017 et D-872/2017 du 20 février 2017). Au contraire, en retenant le principe de l'examen de la demande par un seul Etat membre (« one chance only »), le règlement Dublin vise précisément à lutter contre les demandes d'asile multiples (cf. notamment arrêt du TAF F-7179/2017 et les réf. cit.). Ainsi, l'Etat responsable de l'examen de la demande d'asile demeure compétent pour le renvoi de l'espace Dublin de l'intéressé (cf. notamment ATAF 2012/4 consid. 3.2.1).</w:t>
      </w:r>
    </w:p>
    <w:p>
      <w:r>
        <w:rPr>
          <w:b/>
        </w:rPr>
        <w:t>E. 5.4</w:t>
      </w:r>
    </w:p>
    <w:p>
      <w:r>
        <w:t>Au vu de ce qui précède, le Tribunal de céans ne décèle aucune circonstance permettant de conclure que la Suisse ne respecterait pas ses obligations découlant du droit international en transférant l'intéressé en Roumanie.</w:t>
      </w:r>
    </w:p>
    <w:p>
      <w:r>
        <w:rPr>
          <w:b/>
        </w:rPr>
        <w:t>E. 6</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donc à juste titre que l'autorité intimée n'est pas entrée en matière sur la demande de protection de l'intéressé, en application de l'art. 31a al. 1 let. b LAsi, et qu'elle a prononcé son transfert de Suisse vers la Roumanie, conformément à l'art. 44 LAsi, aucune exception à la règle générale du renvoi n'étant réalisée (art. 32 OA 1). La Roumanie demeure dès lors l'Etat responsable de l'examen de la demande d'asile du recourant au sens du règlement Dublin III et est tenue - en vertu de l'art. 18 al. 1 let. d dudit règlement - de le reprendre en charge, dans les conditions prévues aux art. 23, 24, 25 et 29.</w:t>
      </w:r>
    </w:p>
    <w:p>
      <w:r>
        <w:rPr>
          <w:b/>
        </w:rPr>
        <w:t>E. 7</w:t>
      </w:r>
    </w:p>
    <w:p>
      <w:r>
        <w:t>Au vu de ce qui précède, le recours doit être rejeté. Se révélant manifestement infondé, le recours est rejeté dans une procédure à juge unique, avec l'approbation d'une seconde juge (art. 111 let. e LAsi). Il est dès lors renoncé à un échange d'écritures, le présent arrêt n'étant motivé que sommairement (cf. art. 111a al. 1 et 2 LAsi).</w:t>
      </w:r>
    </w:p>
    <w:p>
      <w:r>
        <w:rPr>
          <w:b/>
        </w:rPr>
        <w:t>E. 8</w:t>
      </w:r>
    </w:p>
    <w:p>
      <w:r>
        <w:t>La demande d'assistance judiciaire doit être rejetée, les conclusions prises s'avérant d'emblée dénuées de chances de succès (art. 65 PA). Cela étant,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