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F-1508/2024 vom 5. Dezember 2024</w:t>
      </w:r>
    </w:p>
    <w:p>
      <w:r>
        <w:t>Bundesverwaltungsgericht, 2024-12-05, FR</w:t>
      </w:r>
    </w:p>
    <w:p>
      <w:r>
        <w:rPr>
          <w:b/>
        </w:rPr>
        <w:t xml:space="preserve">Quelle: </w:t>
      </w:r>
      <w:r>
        <w:t>https://mcp.opencaselaw.ch/entscheid/bvger_F-1508_2024</w:t>
      </w:r>
    </w:p>
    <w:p>
      <w:r>
        <w:t>FR: TAF F-1508/2024 du 5 décembre 2024</w:t>
      </w:r>
    </w:p>
    <w:p>
      <w:r>
        <w:t>IT: TAF F-1508/2024 del 5 dicembre 2024</w:t>
      </w:r>
    </w:p>
    <w:p>
      <w:pPr>
        <w:pStyle w:val="Heading2"/>
      </w:pPr>
      <w:r>
        <w:t>Regeste</w:t>
      </w:r>
    </w:p>
    <w:p>
      <w:r>
        <w:t>Interdiction d'entrée</w:t>
      </w:r>
    </w:p>
    <w:p>
      <w:pPr>
        <w:pStyle w:val="Heading2"/>
      </w:pPr>
      <w:r>
        <w:t>Erwägungen</w:t>
      </w:r>
    </w:p>
    <w:p>
      <w:r>
        <w:rPr>
          <w:b/>
        </w:rPr>
        <w:t>E. 2</w:t>
      </w:r>
    </w:p>
    <w:p>
      <w:r>
        <w:t>Le Tribunal examine les décisions qui lui sont soumises avec un plein pou- voir d'examen en fait et en droit. La recourante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F-1508/2024 Page 4</w:t>
      </w:r>
    </w:p>
    <w:p>
      <w:r>
        <w:rPr>
          <w:b/>
        </w:rPr>
        <w:t>E. 3.1</w:t>
      </w:r>
    </w:p>
    <w:p>
      <w:r>
        <w:t>Conformément à l’art. 5 al. 1 LEI (RS 142.20), l’étranger doit, pour en- trer en Suisse, avoir une pièce de légitimation reconnue pour le passage de la frontière et être muni d’un visa si ce dernier est requis (let. a), dispo- ser des moyens financiers nécessaires à son séjour (let. b), ne représenter aucune menace pour la sécurité et l’ordre publics ni pour les relations in- ternationales de la Suisse (let. c) et ne pas faire l’objet d’une mesure d’éloi- gnement ou d’une expulsion au sens des art. 66a ou 66abis du Code pénal (CP ; RS 311.0) ou 49a ou 49abis du Code pénal militaire du 13 juin 1927 (CPM ;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une période de 180 jours), l'art. 3 al. 1 de l’ordonnance fédérale du 15 août 2018 sur l’entrée et l’octroi de visas (OEV ; RS 142.204) dispose que lesdites conditions sont régies par l’art. 6 du Règlement (UE) 2016/399 du Parlement européen et du Conseil du 9 mars 2016 concernant un code de l'Union relatif au régime de franchis- sement des frontières par les personnes (code frontières Schengen [JO L 77 du 23 mars 2016, p. 1-52], modifié par le Règlement (UE) 2017/458, JO L 74 du 18 mars 2017, p. 1-7). L’art. 6 par. 1 du code frontières Schengen, dont le contenu coïncide large- ment avec celui de l’art. 5 al. 1 LEI précité (cf., entre autres, arrêts du TAF F-7015/2023 du 24 octobre 2024 consid. 3.1 ; F-5096/2022 du 4 octobre 2023 consid. 4.1),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 ci est requis en vertu du règlement (CE) n° 539/2001 du Conseil du 15 mars 2001 fixant la liste des pays tiers dont les ressortissants sont sou- 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 gen précise, quant à lui, que la date d'entrée est considérée comme le premier jour de séjour sur le territoire des Etats membres et que la date de sortie est considérée comme le dernier jour de séjour sur le territoire des Etats membres.</w:t>
      </w:r>
    </w:p>
    <w:p>
      <w:r>
        <w:t>F-1508/2024 Page 5</w:t>
      </w:r>
    </w:p>
    <w:p>
      <w:r>
        <w:rPr>
          <w:b/>
        </w:rPr>
        <w:t>E. 3.2</w:t>
      </w:r>
    </w:p>
    <w:p>
      <w:r>
        <w:t>En l’espèce, la recourante, ressortissante chilienne, avait l’obligation de posséder un visa pour entrer sur le territoire des Etats Schengen, obli- gation qu’elle remplissait à son arrivée en France le 24 juillet 2023. Elle était détentrice d’un visa d’une durée de validité de 90 jours sur 180 jours.</w:t>
      </w:r>
    </w:p>
    <w:p>
      <w:r>
        <w:rPr>
          <w:b/>
        </w:rPr>
        <w:t>E. 4.1</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 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La jurisprudence du Tribunal a eu l’occasion de préciser que l’art. 67 al. 1 let. c LEI devait également être applicable aux personnes qui ne faisaient pas l’objet d’une décision de renvoi (cf. arrêt du F-594/2023 du 29 janvier 2024 consid. 7.11 [prévu pour la publication]).</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tandis que l’ancien art. 67 al. 2 let. a LEI était une disposition potestative (cf. RO 2010 5925, 5929), qui n’obli- geait pas l’autorité à prononcer une interdiction d’entrée (cf. Message du</w:t>
      </w:r>
    </w:p>
    <w:p>
      <w:r>
        <w:rPr>
          <w:b/>
        </w:rPr>
        <w:t>E. 4.3</w:t>
      </w:r>
    </w:p>
    <w:p>
      <w:r>
        <w:t>L’interdiction d’entrée est prononcée pour une durée maximale de cinq ans. Elle peut être prononcée pour une plus longue durée lorsque la per- sonne concernée constitue une menace grave pour la sécurité et l’ordre publics (art. 67 al. 3 LEI). Pour des raisons humanitaires ou pour d’autres motifs importants, l’autorité appelée à statuer peut exceptionnellement s’abstenir de prononcer une interdiction d’entrée ou suspendre</w:t>
      </w:r>
    </w:p>
    <w:p>
      <w:r>
        <w:t>F-1508/2024 Page 6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 vent être mis en balance avec les intérêts privés de l’intéressé dans le cadre d’une décision de levée (art. 67 al. 5 LEI).</w:t>
      </w:r>
    </w:p>
    <w:p>
      <w:r>
        <w:rPr>
          <w:b/>
        </w:rPr>
        <w:t>E. 4.4</w:t>
      </w:r>
    </w:p>
    <w:p>
      <w:r>
        <w:t>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arrêts du Tri- bunal fédéral [ci-après : TF] 2C_728/2021 du 4 mars 2022 consid. 6.2 ; 6B_173/2013 du 19 août 2013 consid. 2.3 ; ATAF 2017 VII/2 consid. 4.4). Son but consiste à empêcher la personne concernée de pénétrer sur le territoire suisse ou d'y retourner à l'insu des autorités (ATAF 2017 VII/2 consid. 4.4 et 6.4 ; arrêt du TAF F-4804/2023 du 17 juin 2024 consid. 5.3).</w:t>
      </w:r>
    </w:p>
    <w:p>
      <w:r>
        <w:rPr>
          <w:b/>
        </w:rPr>
        <w:t>E. 4.5</w:t>
      </w:r>
    </w:p>
    <w:p>
      <w:r>
        <w:t>S’agissant des notions de sécurité et d’ordre publics auxquelles se ré- fère l’art. 67 al. 1 let. c LEI, elles constituent le terme générique des biens juridiquement protégés. L’ordre public comprend l’ensemble des représen- tations non écrites de l’ordre, dont le respect doit être considéré comme une condition inéluctable d’une cohabitation humaine ordonnée. La sécu- 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 sage LEtr], FF 2002 3469, 3564).</w:t>
      </w:r>
    </w:p>
    <w:p>
      <w:r>
        <w:rPr>
          <w:b/>
        </w:rPr>
        <w:t>E. 4.6</w:t>
      </w:r>
    </w:p>
    <w:p>
      <w:r>
        <w:t>Aux termes de l'art. 77a al. 1 de l’Ordonnance relative à l’admission, au séjour et à l’exercice d’une activité lucrative du 24 octobre 2017 (OASA,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 ger a violé les prescriptions du droit en matière d'étrangers (Message LEtr, FF 2002 3469, 3568). Selon la jurisprudence constante du Tribunal, le fait d'entrer, de séjourner ou de travailler en Suisse sans autorisation repré- sente une violation grave des prescriptions de police des étrangers</w:t>
      </w:r>
    </w:p>
    <w:p>
      <w:r>
        <w:t>F-1508/2024 Page 7 (cf. ATAF 2017 VII/2 consid. 6.2 ; arrêt du TAF F-4804/2023 du 17 juin 2024 consid. 5.6) justifiant en soi le prononcé d'une interdiction d'entrée de plusieurs années (cf. arrêt du TAF F-4022/2020 du 4 mai 2021 consid. 3.4 avec citation d'exemples concrets). 5. Tout d’abord, il convient d’examiner si le prononcé d’une interdiction d’en- trée à l’endroit de la recourante est justifié dans son principe. 5.1 Le Tribunal rappelle, à titre liminaire, qu'il existe deux régimes juri- diques différents concernant le prononcé des interdictions d'entrée, selon que l’étranger est ressortissant d'un Etat de l'Union européenne, respecti- vement de l'AELE, ou d'un Etat tiers. En l’occurrence, l’intéressée est une ressortissante chilienne, soit originaire d’un Etat tiers, de sorte que la déci- sion querellée s’examine à l’aune de la LEI, les dispositions de l’ALCP (RS 0.142.112.681) n’étant pas applicables au cas d’espèce. Or, selon le Tribunal fédéral, un étranger ressortissant d'un pays tiers n'a pas besoin d'avoir atteint de manière grave l'ordre et la sécurité publics avant de pou- voir se voir interdire d'entrer en Suisse sur la base du seul art. 67 LEI (cf. ATF 139 II 121 consid. 5 ; arrêt du TF 2C_644/2022 du 18 décembre 2023 consid. 6.4). 5.2 En l’espèce, force est de constater que la recourante, comme elle l’ad- met elle-même, a outrepassé la durée de son visa en demeurant dans l’Es- pace Schengen bien après l’expiration de celui-ci. Dans la mesure où la recourante est restée dans l’Espace Schengen du 24 juillet 2023 au 12 jan- vier 2024, soit un total de 173 jours, il appert qu’elle a effectivement dé- passé la durée de son visa de 90 jours de 83 jours. Or, comme relevé précédemment (cf. supra consid. 4.6), le seul fait d’en- trer, de séjourner et/ou de travailler en Suisse sans autorisation constitue déjà une violation grave des prescriptions en droit des étrangers justifiant le prononcé d’une mesure d’éloignement à l’encontre de l’étranger con- cerné. Peu importe que l’intéressée ait effectué un overstay en étant es- sentiellement en France ; il appartient à la Suisse, dans le cadre de l’appli- cation des règles de Schengen, de préserver les intérêts de tous les Etats parties aux Accords d’association à Schengen (cf. ATAF 2014/20 con- sid. 8.5 ; arrêt du TAF F-7015/2023 du 24 octobre 2024 consid. 5.2). 5.3 Dans ces conditions, il convient de retenir que, par son comportement, la recourante remplit les conditions d’application de l’art. 67 al. 1 let. c LEI</w:t>
      </w:r>
    </w:p>
    <w:p>
      <w:r>
        <w:t>F-1508/2024 Page 8 et que, par voie de conséquence, la mesure d’interdiction d’entrée pronon- cée à son égard le 22 janvier 2024 est justifiée dans son principe.</w:t>
      </w:r>
    </w:p>
    <w:p>
      <w:r>
        <w:rPr>
          <w:b/>
        </w:rPr>
        <w:t>E. 5</w:t>
      </w:r>
    </w:p>
    <w:p>
      <w:r>
        <w:t>Tout d'abord, il convient d'examiner si le prononcé d'une interdiction d'entrée à l'endroit de la recourante est justifié dans son principe.</w:t>
      </w:r>
    </w:p>
    <w:p>
      <w:r>
        <w:rPr>
          <w:b/>
        </w:rPr>
        <w:t>E. 5.1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l'intéressée est une ressortissante chilienne, soit originaire d'un Etat tiers, de sorte que la décision querellée s'examine à l'aune de la LEI, les dispositions de l'ALCP (RS 0.142.112.681) n'étant pas applicables au cas d'espèce. Or, selon le Tribunal fédéral, un étranger ressortissant d'un pays tiers n'a pas besoin d'avoir atteint de manière grave l'ordre et la sécurité publics avant de pouvoir se voir interdire d'entrer en Suisse sur la base du seul art. 67 LEI (cf. ATF 139 II 121 consid. 5 ; arrêt du TF 2C_644/2022 du 18 décembre 2023 consid. 6.4).</w:t>
      </w:r>
    </w:p>
    <w:p>
      <w:r>
        <w:rPr>
          <w:b/>
        </w:rPr>
        <w:t>E. 5.2</w:t>
      </w:r>
    </w:p>
    <w:p>
      <w:r>
        <w:t>En l'espèce, force est de constater que la recourante, comme elle l'admet elle-même, a outrepassé la durée de son visa en demeurant dans l'Espace Schengen bien après l'expiration de celui-ci. Dans la mesure où la recourante est restée dans l'Espace Schengen du 24 juillet 2023 au 12 janvier 2024, soit un total de 173 jours, il appert qu'elle a effectivement dépassé la durée de son visa de 90 jours de 83 jours. Or, comme relevé précédemment (cf. supra consid. 4.6), le seul fait d'entrer, de séjourner et/ou de travailler en Suisse sans autorisation constitue déjà une violation grave des prescriptions en droit des étrangers justifiant le prononcé d'une mesure d'éloignement à l'encontre de l'étranger concerné. Peu importe que l'intéressée ait effectué un overstay en étant essentiellement en France ; il appartient à la Suisse, dans le cadre de l'application des règles de Schengen, de préserver les intérêts de tous les Etats parties aux Accords d'association à Schengen (cf. ATAF 2014/20 consid. 8.5 ; arrêt du TAF F-7015/2023 du 24 octobre 2024 consid. 5.2).</w:t>
      </w:r>
    </w:p>
    <w:p>
      <w:r>
        <w:rPr>
          <w:b/>
        </w:rPr>
        <w:t>E. 5.3</w:t>
      </w:r>
    </w:p>
    <w:p>
      <w:r>
        <w:t>Dans ces conditions, il convient de retenir que, par son comportement, la recourante remplit les conditions d'application de l'art. 67 al. 1 let. c LEI et que, par voie de conséquence, la mesure d'interdiction d'entrée prononcée à son égard le 22 janvier 2024 est justifiée dans son principe.</w:t>
      </w:r>
    </w:p>
    <w:p>
      <w:r>
        <w:rPr>
          <w:b/>
        </w:rPr>
        <w:t>E. 6</w:t>
      </w:r>
    </w:p>
    <w:p>
      <w:r>
        <w:t>Cela étant, il convient encore de vérifier si la mesure d’éloignement pro- noncée par l’autorité inférieure pour une durée de deux ans (palier I, cf. ATF 139 II 121 consid. 6.1) est conforme au principe de proportionnalité.</w:t>
      </w:r>
    </w:p>
    <w:p>
      <w:r>
        <w:rPr>
          <w:b/>
        </w:rPr>
        <w:t>E. 6.1</w:t>
      </w:r>
    </w:p>
    <w:p>
      <w:r>
        <w:t>Toute mesure d'éloignement doit respecter ce principe, qui s'impose tant en droit interne (art. 5 al. 2 et 36 al. 3 Cst. et art. 96 LEI) qu'au regard de la CEDH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149 I 129 consid. 3.4.3).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 arrêt du TAF F-4804/2023 du 17 juin 2024 consid. 8.2).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 sid. 6.5.1 ; arrêt du TF 2C_728/2021 du 4 mars 2022 consid. 4.1).</w:t>
      </w:r>
    </w:p>
    <w:p>
      <w:r>
        <w:rPr>
          <w:b/>
        </w:rPr>
        <w:t>E. 6.2</w:t>
      </w:r>
    </w:p>
    <w:p>
      <w:r>
        <w:t>S’agissant tout d’abord de l’intérêt public, le Tribunal constate que le motif retenu par le SEM à l’appui de la mesure d’éloignement (séjour illégal de 83 jours au total dans l’Espace Schengen) ne saurait être contesté, en ce sens qu’il y a lieu d’admettre que l’interdiction d’entrée prononcée à l’encontre de la recourante est apte et nécessaire à atteindre les résultats escomptés, soit protéger l’ordre et la sécurité publics. Compte tenu égale- ment du nombre élevé de contraventions commises dans le domaine de la</w:t>
      </w:r>
    </w:p>
    <w:p>
      <w:r>
        <w:t>F-1508/2024 Page 9 police des étrangers, les autorités sont contraintes d'intervenir avec sévé- rité afin d'assurer la stricte application des prescriptions édictées en la ma- tière. Il en va de l'intérêt public de l'Etat à voir respectés l'ordre établi et la législation en vigueur (cf., parmi d’autres, arrêt du TAF F-5096/2022 du 4 octobre 2023 consid. 8.2). Comme rappelé ci-dessus, la recourante a sé- journé illégalement en France pour une durée de 83 jours après la fin de son visa. Il s’agit là d’un dépassement conséquent.</w:t>
      </w:r>
    </w:p>
    <w:p>
      <w:r>
        <w:rPr>
          <w:b/>
        </w:rPr>
        <w:t>E. 6.3</w:t>
      </w:r>
    </w:p>
    <w:p>
      <w:r>
        <w:t>Quant à l’intérêt privé, la recourante ne s’est pas prévalu de liens avec la Suisse. Elle a au contraire indiqué être « tombée amoureuse » de la cul- ture française lors de son visa touristique et vouloir y débuter une formation en commerce international. Elle n’a toutefois pas, depuis le prononcé de son interdiction, entrepris d’éventuelles démarches allant dans ce sens, ou, à tout le moins, elle ne l’a ni allégué ni démontré. Par ailleurs, l’intéressée a invoqué avoir rencontré un ressortissant français, avec qui elle a soutenu avoir des projets communs, sans toutefois étayer davantage ses propos. En l’absence d’informations quant à la nature ainsi que l’intensité de la re- lation qu’elle entretient avec ladite personne, le Tribunal estime qu’elle ne saurait en tirer un quelconque avantage dans le cas d’espèce.</w:t>
      </w:r>
    </w:p>
    <w:p>
      <w:r>
        <w:rPr>
          <w:b/>
        </w:rPr>
        <w:t>E. 6.4</w:t>
      </w:r>
    </w:p>
    <w:p>
      <w:r>
        <w:t>Au vu de ce qui précède, étant rappelé que la recourante a commis un « overstay » de 83 jours à l’issue de son visa de 90 jours, et en comparai- son de la durée retenue dans d’autres affaires d’« overstay » (cf. notam- ment, arrêts du TAF F-5096/2022 du 4 octobre 2023 consid. 8.4 [overstay de 81 jours] ; F-2184/2022 du 15 mars 2023 consid. 6 [overstay de 38 jours] ; F-3270/2021 du 12 novembre 2021 consid. 5.3 [overstay de 117 jours] ; F-942/2019 du 7 décembre 2020 consid. 5 [overstay de 104 jours] ; F-1438/2019 du 16 septembre 2020 consid. 6 [overstay de 94 jours]), le Tribunal considère que l’interdiction d’entrée contestée, fixée en l’occurrence à deux ans, est proportionnée et ne viole pas le principe de l’égalité de traitement.</w:t>
      </w:r>
    </w:p>
    <w:p>
      <w:r>
        <w:rPr>
          <w:b/>
        </w:rPr>
        <w:t>E. 7</w:t>
      </w:r>
    </w:p>
    <w:p>
      <w:r>
        <w:t>Le SEM a par ailleurs ordonné l'inscription de l'interdiction d'entrée dans le système d'information Schengen. En raison de ce signalement, il est inter- dit à la recourante de pénétrer dans l'Espace Schengen. Ce signalement au SIS est justifié par les faits retenus et satisfait au principe de la propor- tionnalité, au vu des circonstances du cas d'espèce (cf. art. 21 du règle- ment [UE] n° 2018/1861 du Parlement européen et du Conseil du 28 no- vembre 2018 sur l’établissement, le fonctionnement et l’utilisation du sys- tème d’information Schengen [SIS] dans le domaine des vérifications aux frontières, modifiant la convention d’application de l’accord de Schengen</w:t>
      </w:r>
    </w:p>
    <w:p>
      <w:r>
        <w:t>F-1508/2024 Page 10 et modifiant et abrogeant le règlement [CE] n° 1987/2066, JO L 312 du 7.12.2018 [SIS], valable depuis le 7 mars 2023 [JO L 27 du 31.1.2023] en relation avec l'art. 24 par. 2 du même règlement). Il l'est d'autant plus que la Suisse, dans le champ d'application des règles de Schengen, se doit de préserver les intérêts de tous les Etats parties aux Accords d'association à Schengen (ATAF 2023 VII/3 consid. 15.3.2).</w:t>
      </w:r>
    </w:p>
    <w:p>
      <w:r>
        <w:rPr>
          <w:b/>
        </w:rPr>
        <w:t>E. 8</w:t>
      </w:r>
    </w:p>
    <w:p>
      <w:r>
        <w:t>Il ressort de ce qui précède que le SEM n’a ni violé le droit fédéral, ni com- mis un excès ou un abus de son pouvoir d’appréciation. Sa décision n’est en outre par inopportune (cf. art. 19 PA). Partant, le recours est rejeté.</w:t>
      </w:r>
    </w:p>
    <w:p>
      <w:r>
        <w:rPr>
          <w:b/>
        </w:rPr>
        <w:t>E. 9</w:t>
      </w:r>
    </w:p>
    <w:p>
      <w:r>
        <w:t>Vu l'issue de la cause, les frais de procédure sont mis à la charge de la recourante (art. 63 al. 1 PA, en relation avec l'art. 1 et l'art. 3 du règlement du 21 février 2008 concernant les frais, dépens et indemnités fixés par le Tribunal administratif fédéral [FITAF, RS 173.320.2]).</w:t>
      </w:r>
    </w:p>
    <w:p>
      <w:r>
        <w:t>(dispositif – page suivante)</w:t>
      </w:r>
    </w:p>
    <w:p>
      <w:r>
        <w:t>F-1508/2024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