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F-1505/2024 vom 14. März 2024</w:t>
      </w:r>
    </w:p>
    <w:p>
      <w:r>
        <w:t>Bundesverwaltungsgericht, 2024-03-14, FR</w:t>
      </w:r>
    </w:p>
    <w:p>
      <w:r>
        <w:rPr>
          <w:b/>
        </w:rPr>
        <w:t xml:space="preserve">Quelle: </w:t>
      </w:r>
      <w:r>
        <w:t>https://mcp.opencaselaw.ch/entscheid/bvger_F-1505_2024</w:t>
      </w:r>
    </w:p>
    <w:p>
      <w:r>
        <w:t>FR: TAF F-1505/2024 du 14 mars 2024</w:t>
      </w:r>
    </w:p>
    <w:p>
      <w:r>
        <w:t>IT: TAF F-1505/2024 del 14 marzo 2024</w:t>
      </w:r>
    </w:p>
    <w:p>
      <w:pPr>
        <w:pStyle w:val="Heading2"/>
      </w:pPr>
      <w:r>
        <w:t>Regeste</w:t>
      </w:r>
    </w:p>
    <w:p>
      <w:r>
        <w:t>Asile (non-entrée en matière) et renvoi (procédure Dublin - art. 31a al. 1 let. b LAsi)</w:t>
      </w:r>
    </w:p>
    <w:p>
      <w:pPr>
        <w:pStyle w:val="Heading2"/>
      </w:pPr>
      <w:r>
        <w:t>Erwägungen</w:t>
      </w:r>
    </w:p>
    <w:p>
      <w:r>
        <w:rPr>
          <w:b/>
        </w:rPr>
        <w:t>E. 4.1</w:t>
      </w:r>
    </w:p>
    <w:p>
      <w:r>
        <w:t>Les recours contre les décisions du SEM en matière d'asile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la partie se verrait du reste privée du bénéfice d'une double instance. Pour ces motifs le Tribunal doit se limiter à valider ou compléter l'état de fait pertinent, tel qu'il a été retenu par le SEM (cf. ATAF 2012/21 consid. 5).</w:t>
      </w:r>
    </w:p>
    <w:p>
      <w:r>
        <w:rPr>
          <w:b/>
        </w:rPr>
        <w:t>E. 4.2</w:t>
      </w:r>
    </w:p>
    <w:p>
      <w:r>
        <w:t>En l'espèce, il appartient au SEM et non au Tribunal de mener à chef les compléments d'instruction indispensables qui s'imposent au vu de l'établissement incomplet de l'état de fait pertinent. Dans ces conditions, il y a lieu d'admettre le recours, d'annuler la décision du SEM du 1er mars 2024 pour établissement incomplet de l'état de fait pertinent (art. 106 al. 1 let. a et let. b LAsi) et de lui renvoyer la cause pour complément d'instruction et nouvelle décision (art. 61 al. 1 PA). En particulier, il incombera au SEM de vérifier l'authenticité du certificat de mariage produit le 15 décembre 2023 et du livret de famille trouvé sur la belle-fille (cf. supra consid. 3.4 in fine), par exemple en faisant examiner ceux-ci auprès d'un spécialiste ou par l'ambassade de Suisse en Turquie. En parallèle, l'autorité inférieure invitera le recourant à démontrer les démarches entreprises par son avocat en Turquie ainsi qu'à donner des explications sur les raisons pour lesquelles le livret de famille a été trouvé sur la belle-fille et n'a pas été produit en cause spontanément. Après avoir procédé à d'éventuelles autres mesures d'instruction jugées utiles, il rendra une nouvelle décision.</w:t>
      </w:r>
    </w:p>
    <w:p>
      <w:r>
        <w:rPr>
          <w:b/>
        </w:rPr>
        <w:t>E. 5</w:t>
      </w:r>
    </w:p>
    <w:p>
      <w:r>
        <w:t>S'avérant manifestement fondé, le recours est admis au sens des considérants, dans une procédure à juge unique, avec l'approbation d'un second juge (art. 111 let. e LAsi). Il est dès lors renoncé à un échange d'écritures, le présent arrêt n'étant motivé que sommairement (art. 111a al. 1 et 2 LAsi).</w:t>
      </w:r>
    </w:p>
    <w:p>
      <w:r>
        <w:rPr>
          <w:b/>
        </w:rPr>
        <w:t>E. 6</w:t>
      </w:r>
    </w:p>
    <w:p>
      <w:r>
        <w:t>Dans la mesure où il est statué immédiatement sur le fond, les requêtes assorties au recours et tendant à l'octroi de l'effet suspensif ainsi qu'à la dispense du versement d'une avance de frais sont sans objet.</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frais de procédure (art. 63 al. 1 et 2 PA) et la demande d'assistance judiciaire partielle devient sans objet.</w:t>
      </w:r>
    </w:p>
    <w:p>
      <w:r>
        <w:rPr>
          <w:b/>
        </w:rPr>
        <w:t>E. 7.2</w:t>
      </w:r>
    </w:p>
    <w:p>
      <w:r>
        <w:t>Il n'y a pas lieu d'allouer de dépens au recourant, celui-ci étant représenté par le représentant juridique qui lui a été attribué par le prestataire mandaté par le SEM, conformément à l'art. 102f al. 1 LAsi en lien avec l'art. 102h al. 3 LAsi (art. 64 al. 1 PA a contrario et art. 111ater LAsi).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