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F-1504/2021 vom 31. Oktober 2022</w:t>
      </w:r>
    </w:p>
    <w:p>
      <w:r>
        <w:t>Bundesverwaltungsgericht, 2022-10-31, DE</w:t>
      </w:r>
    </w:p>
    <w:p>
      <w:r>
        <w:rPr>
          <w:b/>
        </w:rPr>
        <w:t xml:space="preserve">Quelle: </w:t>
      </w:r>
      <w:r>
        <w:t>https://mcp.opencaselaw.ch/entscheid/bvger_F-1504_2021</w:t>
      </w:r>
    </w:p>
    <w:p>
      <w:r>
        <w:t>FR: TAF F-1504/2021 du 31 octobre 2022</w:t>
      </w:r>
    </w:p>
    <w:p>
      <w:r>
        <w:t>IT: TAF F-1504/2021 del 31 ottobre 2022</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Auf die im Übrigen frist- und formgerecht eingereichte Beschwerde ist einzutreten (Art. 50 Abs. 1 und Art. 52 Abs. 1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 m.H.).</w:t>
      </w:r>
    </w:p>
    <w:p>
      <w:r>
        <w:rPr>
          <w:b/>
        </w:rPr>
        <w:t>E. 3.1</w:t>
      </w:r>
    </w:p>
    <w:p>
      <w:r>
        <w:t>Das SEM verfügt Einreiseverbote gegenüber weggewiesenen Ausländerinnen und Ausländern, wenn die Wegweisung nach Art. 64d Abs. 2 Bst. a - c AIG sofort vollstreckt wird (Art. 67 Abs. 1 Bst. a AIG) oder die betroffene Person der Ausreiseverpflichtung nicht innert Frist nachgekommen ist (Art. 67 Abs. 1 Bst. b AIG). Es kann sodann nach Art. 67 Abs. 2 AIG Einreiseverbote gegen ausländische Personen erlassen, die gegen die öffentliche Sicherheit und Ordnung in der Schweiz oder im Ausland verstossen haben oder diese gefährden (Art. 67 Abs. 2 Bst. a AIG), Sozialhilfekosten verursacht haben (Art. 67 Abs. 2 Bst. b AIG) oder in Vorbereitungs-, Ausschaffungs- oder Durchsetzungshaft genommen worden sind (Art. 67 Abs. 2 Bst. c AIG). Das Einreiseverbot wird für eine Dauer von höchstens fünf Jahren verfügt. Es kann für eine längere Dauer angeordnet werden, wenn die betroffene Person eine schwerwiegende Gefahr für die öffentliche Sicherheit und Ordnung darstellt (Art. 67 Abs. 3 AIG). Aus humanitärenoder anderen wichtigen Gründen kann die zuständige Behörde ausnahmsweise von der Verhängung eines Einreiseverbots absehen oder ein Einreiseverbot endgültig oder vorübergehend aufheben (Art. 67 Abs. 5 AIG).</w:t>
      </w:r>
    </w:p>
    <w:p>
      <w:r>
        <w:rPr>
          <w:b/>
        </w:rPr>
        <w:t>E. 3.2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Somit liegt ein Verstoss gegen die öffentliche Sicherheit und Ordnung dann vor, wenn gesetzliche Vorschriften oder behördliche Verfügungen missachtet werden (vgl. Art. 77a Abs. 1 Bst. a der Verordnung vom 24. Oktober 2007 über Zulassung, Aufenthalt und Erwerbstätigkeit [VZAE]).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normalerweise keinen hinreichenden Grund dar, um von einer Fernhaltemassnahme abzusehen. Jeder ausländischen Person obliegt es, sich über bestehende Rechte und Pflichten im Zusammenhang mit den ausländerrechtlichen Vorschriften ins Bild zu setzen und sich im Falle von Unklarheiten bei der zuständigen Behörde zu informieren (vgl. statt vieler Urteil des BVGer F-6632/2019 vom 8. Oktober 2020 E. 4.3).</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4.1</w:t>
      </w:r>
    </w:p>
    <w:p>
      <w:r>
        <w:t>Die Vorinstanz hat das Einreiseverbot in erster Linie damit begründet, der Beschwerdeführerin sei es gelungen, mit gefälschten tschechischen Reisedokumenten die Behörden zu täuschen und sich damit in der Schweiz einen Aufenthaltstitel zu erschleichen. Damit liege ein rechtsmissbräuchliches Verhalten und eine damit verbundene anhaltende, erhebliche betrügerische Energie und eine Geringschätzung der hierzulande geltenden Rechtsordnung vor, womit ein ernstzunehmender Verstoss gegen die öffentliche Sicherheit und Ordnung einhergehe (Art. 67 Abs. 2 Bst. a AIG).</w:t>
      </w:r>
    </w:p>
    <w:p>
      <w:r>
        <w:rPr>
          <w:b/>
        </w:rPr>
        <w:t>E. 4.2</w:t>
      </w:r>
    </w:p>
    <w:p>
      <w:r>
        <w:t>Demgegenüber bestreitet die Beschwerdeführerin, welche angeblich während drei Jahren in Tschechien gearbeitet haben will (vgl. Ziff. 21 der polizeilichen Einvernahme; SO-act. 29/S. 88-89), jegliche Täuschungshandlung gegenüber den schweizerischen Behörden und macht geltend, ihren Antrag auf Aufenthaltsbewilligung wahrheitsgemäss ausgefüllt zu haben. Im Weitern behauptet sie, in völliger Unkenntnis besagter Fälschungen gewesen zu sein und die tschechischen Ausweisdokumente auf absolut legale Weise beantragt, bezahlt und ausgestellt erhalten zu haben.</w:t>
      </w:r>
    </w:p>
    <w:p>
      <w:r>
        <w:rPr>
          <w:b/>
        </w:rPr>
        <w:t>E. 4.3</w:t>
      </w:r>
    </w:p>
    <w:p>
      <w:r>
        <w:t>Die Argumentation der Beschwerdeführerin vermag nicht zu überzeugen und muss als blosse Schutzbehauptung zurückgewiesen werden. Sie wurde denn auch mit Strafbefehl der Staatsanwaltschaft des Kantons Solothurn vom 20. Mai 2021 der rechtswidrigen Einreise und des rechtswidrigen Aufenthalts im Sinne von Art. 115 Abs. 1 Bst. a und b AIG, der Fälschung von Ausweisen (durch Gebrauch) im Sinne von Art. 252 StGB sowie der Täuschung der Behörden im Sinne von Art. 118 Abs. 1 AIG schuldig gesprochen und zu einer (bedingten) Geldstrafe von 140 Tagessätzen zu je Fr. 10.- verurteilt. Zur Begründung führte die Strafbehörde aus, die Beschwerdeführerin sei am 19. Juli 2020 mit einer (total-)gefälschten tschechischen Identitätskarte sowie einem (inhalts-)gefälschten tschechischen Reisepass in die Schweiz eingereist und habe sich in der Folge bis zum 12. Februar 2021 rechtswidrig im Land aufgehalten. Diese Ausweisschriften habe sie zur Täuschung verwendet und sich damit am 28. Oktober 2020 eine ihr nicht zustehende Aufenthaltsbewilligung erschlichen. Für das Bundesverwaltungsgericht besteht kein Anlass, in rechtlicher oder in tatsächlicher Hinsicht von diesem Straferkenntnis abzuweichen, zumal dieser Strafbefehl nicht angefochten wurde und in Rechtskraft erwachsen ist (vgl. Urteil des BVGer F-1156/2018 vom 13. Dezember 2019 E. 4.3 m.H.). Abgesehen davon kann die Beschwerdeführerin mit der vorliegenden Beschwerde nicht verlangen, dass der im kantonalen Wegweisungsverfahren erhobene und dem rechtskräftigen Urteil des Solothurner Verwaltungsgerichts zugrundeliegende Sachverhalt ignoriert und ihren hier wie dort gleichen Behauptungen nunmehr geglaubt wird. Das Gericht hat überzeugend dargelegt, weshalb in casu von einer offensichtlichen Schutzbehauptung auszugehen sei. So sei es naiv zu glauben, dass man die tschechische Staatsbürgerschaft einfach erwerben könne, indem man in ein Büro gehe und dort für 60 Euro einen tschechischen Pass kaufe. Es sei allgemein bekannt, dass die Erlangung einer Staatsbürgerschaft in der EU oder EFTA - von wenigen speziellen Ausnahmen abgesehen - wegen den damit verbundenen Vorteilen an verschiedenste recht strenge Voraussetzungen, wie Integration, Sprachkenntnisse, finanzielle Verhältnisse, Aufenthaltsdauer etc. geknüpft sei und man ein länger dauerndes Einbürgerungsverfahren durchlaufen müsse.</w:t>
      </w:r>
    </w:p>
    <w:p>
      <w:r>
        <w:rPr>
          <w:b/>
        </w:rPr>
        <w:t>E. 4.4</w:t>
      </w:r>
    </w:p>
    <w:p>
      <w:r>
        <w:t>Nach dem Gesagten hat die Beschwerdeführerin in mehrfacher Hinsicht ausländerrechtliche Bestimmungen verletzt und damit gegen die öffentliche Sicherheit und Ordnung verstossen. Die Voraussetzungen für ein Einreiseverbot gemäss Art. 67 Abs. 2 Bst. a AIG sind somit fraglos erfüllt. Kommt hinzu, dass die Aufenthaltsbewilligung der Beschwerdeführerin - wie erwähnt - von der kantonalen Migrationsbehörde am 25. Februar 2021 widerrufen und sie gemäss Art. 64d AIG weggewiesen wurde, wobei die Wegweisung als sofort vollstreckbar erklärt wurde. Ausserdem musste sie zur Sicherung der Ausreise in Ausschaffungshaft genommen werden. Damit erfüllt die Beschwerdeführerin weitere Fernhaltegründe (vgl. Art. 67 Abs. 1 Bst. a und Art. 67 Abs. 2 Bst. c AIG).</w:t>
      </w:r>
    </w:p>
    <w:p>
      <w:r>
        <w:rPr>
          <w:b/>
        </w:rPr>
        <w:t>E. 5.1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der Verfügungsbelasteten bilden dabei den Ausgangspunkt der Überlegungen (vgl. statt vieler Häfelin et al., Allgemeines Verwaltungsrecht, 8. Aufl. 2020, Rz. 555 f.).</w:t>
      </w:r>
    </w:p>
    <w:p>
      <w:r>
        <w:rPr>
          <w:b/>
        </w:rPr>
        <w:t>E. 5.2</w:t>
      </w:r>
    </w:p>
    <w:p>
      <w:r>
        <w:t>Vor dem Hintergrund der gegenüber den Ausländerbehörden begangenen Täuschung sowie der weiteren Verstösse gegen ausländerrechtliche Vorschriften und der damit einhergehenden ungünstigen Prognose liegt die Fernhaltung der Beschwerdeführerin, welche sich während des ganzen Verfahrens völlig uneinsichtig gezeigt hat, im öffentlichen Interesse. Dabei geht es nicht nur um den spezialpräventiven Charakter des Einreiseverbots, welches das missliche Verhalten auch über die angeordnete Dauer hinaus unterbinden soll, sondern auch um generalpräventive Aspekte, die zum Schutz der ausländerrechtlichen Ordnung eine konsequente Massnahmepraxis erfordern (zu den Kriterien der Interessenabwägung im ausländerrechtlichen Verfahren vgl. Urteil des BGer 2C_432/2016 vom 26. Januar 2018 E. 4.3.2 m.H.).</w:t>
      </w:r>
    </w:p>
    <w:p>
      <w:r>
        <w:rPr>
          <w:b/>
        </w:rPr>
        <w:t>E. 5.3</w:t>
      </w:r>
    </w:p>
    <w:p>
      <w:r>
        <w:t>Dem öffentlichen Interesse an ihrer Fernhaltung sind die privaten Interessen der Beschwerdeführerin gegenüberzustellen, wobei sie in diesem Zusammenhang auf familiäre Bindungen in der Schweiz verweist, ohne allerdings näher darauf einzugehen. Soweit die Fernhaltemass-nahme den regelmässigen Kontakt zu allfälligen Verwandten oder Bekannten in der Schweiz verhindert, gilt es in diesem Zusammenhang festzuhalten, dass eine solche, sich aus der Natur des Einreiseverbots ergebende Einschränkung hinzunehmen ist. Die Verhältnismässigkeit der Massnahme an sich wird dadurch nicht in Frage gestellt, wäre doch ansonsten das Instrument des Einreiseverbots gegenüber allen Personen mit Bezugspersonen in der Schweiz per se unzulässig (vgl. auch Urteil des BGer 2C_270/2015 vom 6. August 2015 E. 8.2; Urteil des BVGer F-1126/2017 vom 30. Januar 2019 E. 5.4).</w:t>
      </w:r>
    </w:p>
    <w:p>
      <w:r>
        <w:rPr>
          <w:b/>
        </w:rPr>
        <w:t>E. 5.4</w:t>
      </w:r>
    </w:p>
    <w:p>
      <w:r>
        <w:t>In einer wertenden Gewichtung der sich entgegenstehenden Interessenergibt sich, dass das (mässige) private Interesse der Beschwerdeführerin an unkontrollierten Einreisen in die Schweiz das öffentliche Interesse an ihrer Fernhaltung nicht überwiegt. Das auf drei Jahre befristete Einreiseverbot stellt auch hinsichtlich der Dauer unter Berücksichtigung der gängigen Praxis in vergleichbaren Fällen eine angemessene und verhältnismässige Massnahme zum Schutz der öffentlichen Sicherheit und Ordnung dar (vgl. etwa Urteile des BVGer F-6479/2020 vom 8. September 2022 E. 5.4; F-1827/2018 vom 30. September 2019 E. 7.3; F-1126/2017 vom 30. Januar 2019 E. 5.5), womit dem Eventualantrag, die Dauer der Fernhaltemassnahme auf ein Jahr zu reduzieren, nicht stattzugeben ist.</w:t>
      </w:r>
    </w:p>
    <w:p>
      <w:r>
        <w:rPr>
          <w:b/>
        </w:rPr>
        <w:t>E. 6</w:t>
      </w:r>
    </w:p>
    <w:p>
      <w:r>
        <w:t>Nicht zu beanstanden ist ferner, dass der Beschwerdeführerin als Drittstaatsangehörige die Einreise in das Hoheitsgebiet sämtlicher Schengen-Staaten verboten wurde (vgl. Art. 21 i.V.m. Art. 24 Ziff. 3 SIS-II-Verordnung), handelt es sich doch vorliegend um Verstösse gegen nationale Rechtsvorschriften über Einreise und Aufenthalt. Ein Verzicht darauf käme nur in Betracht, wenn die Beschwerdeführerin im Besitze eines gültigen Aufenthaltstitels eines anderen Schengen-Staates wäre, was hier nicht zutrifft, gehört doch Nordmazedonien nicht dem Schengen-Raum an.</w:t>
      </w:r>
    </w:p>
    <w:p>
      <w:r>
        <w:rPr>
          <w:b/>
        </w:rPr>
        <w:t>E. 7</w:t>
      </w:r>
    </w:p>
    <w:p>
      <w:r>
        <w:t>Aus diesen Erwägungen folgt, dass weder das auf drei Jahre befristete Einreiseverbot noch dessen Ausschreibung im SIS II Bundesrecht verletzt (Art. 49 VwVG). Die Beschwerde ist daher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 Die Verfahrenskosten von Fr. 1'000.- sind durch den von ihr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