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F-1503/2019 vom 21. November 2019</w:t>
      </w:r>
    </w:p>
    <w:p>
      <w:r>
        <w:t>Bundesverwaltungsgericht, 2019-11-21, DE</w:t>
      </w:r>
    </w:p>
    <w:p>
      <w:r>
        <w:rPr>
          <w:b/>
        </w:rPr>
        <w:t xml:space="preserve">Quelle: </w:t>
      </w:r>
      <w:r>
        <w:t>https://mcp.opencaselaw.ch/entscheid/bvger_F-1503_2019</w:t>
      </w:r>
    </w:p>
    <w:p>
      <w:r>
        <w:t>FR: TAF F-1503/2019 du 21 novembre 2019</w:t>
      </w:r>
    </w:p>
    <w:p>
      <w:r>
        <w:t>IT: TAF F-1503/2019 del 21 novembre 2019</w:t>
      </w:r>
    </w:p>
    <w:p>
      <w:pPr>
        <w:pStyle w:val="Heading2"/>
      </w:pPr>
      <w:r>
        <w:t>Regeste</w:t>
      </w:r>
    </w:p>
    <w:p>
      <w:r>
        <w:t>Einreiseverbot</w:t>
      </w:r>
    </w:p>
    <w:p>
      <w:pPr>
        <w:pStyle w:val="Heading2"/>
      </w:pPr>
      <w:r>
        <w:t>Erwägungen</w:t>
      </w:r>
    </w:p>
    <w:p>
      <w:r>
        <w:rPr>
          <w:b/>
        </w:rPr>
        <w:t>E. 1</w:t>
      </w:r>
    </w:p>
    <w:p>
      <w:r>
        <w:t>Aufgrund des engen persönlichen und sachlichen Zusammenhangs recht-fertigt es sich vorliegend, die bisher getrennt geführten Verfahren F- 1503/2019 (die Beschwerdeführerin 1 betreffend) und F-1515/2019 (die Beschwerdeführerin 2 betreffend) zu vereinigen.</w:t>
      </w:r>
    </w:p>
    <w:p>
      <w:r>
        <w:rPr>
          <w:b/>
        </w:rPr>
        <w:t>E. 2.1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2.2</w:t>
      </w:r>
    </w:p>
    <w:p>
      <w:r>
        <w:t>Das Rechtsmittelverfahren vor dem Bundesverwaltungsgericht richtet sich nach dem VwVG, soweit das Verwaltungsgerichtsgesetz nichts anderes bestimmt (Art. 37 VGG).</w:t>
      </w:r>
    </w:p>
    <w:p>
      <w:r>
        <w:rPr>
          <w:b/>
        </w:rPr>
        <w:t>E. 2.3</w:t>
      </w:r>
    </w:p>
    <w:p>
      <w:r>
        <w:t>Die Beschwerdeführerinnen sind als Verfügungsadressatinnen zur Beschwerde legitimiert (Art. 48 Abs. 1 VwVG). Auf die frist- und formgerecht eingereichte Beschwerde ist daher einzutreten (Art. 49 ff. VwVG).</w:t>
      </w:r>
    </w:p>
    <w:p>
      <w:r>
        <w:rPr>
          <w:b/>
        </w:rPr>
        <w:t>E. 2.4</w:t>
      </w:r>
    </w:p>
    <w:p>
      <w:r>
        <w:t>Das Bundesverwaltungsgericht entscheidet in der vorliegenden Sache endgültig (vgl. Art. 83 Bst. c Ziff. 1 BGG).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Die Beschwerdeführerinnen führen in formeller Hinsicht aus, die Vor-instanz beschränke sich in ihrer Verfügung vom 7. Februar 2019 auf die Feststellung, dass sie sich nach Ablauf ihrer Schengenvisa (recte: nach Ablauf des bewilligungsfreien Aufenthalts) weiterhin im Schengen-Raum aufgehalten hätten und dass ein Einreiseverbot gerechtfertigt sei. Die kurze Begründung im Entscheid des SEM weise darauf hin, dass das SEM keine sorgfältige Interessenabwägung vorgenommen habe. Auch habe die Vorinstanz dabei diverse Sachverhaltselemente (geplanter Besuch eines Italienischkurses im September 2019 in Italien zwecks Weiterbildung, keine weiteren Straftaten) nicht berücksichtigt. Damit wird geltend gemacht, die Verfügung sei nicht hinreichend begründet, weshalb in casu zunächst eine allfällige Verletzung des Anspruchs auf rechtliches Gehör (Art. 29 Abs. 2 BV) zu prüfen ist.</w:t>
      </w:r>
    </w:p>
    <w:p>
      <w:r>
        <w:rPr>
          <w:b/>
        </w:rPr>
        <w:t>E. 4.2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4.3</w:t>
      </w:r>
    </w:p>
    <w:p>
      <w:r>
        <w:t>Die Begründung der angefochtenen Verfügung ist zwar kurz ausgefallen, es geht daraus aber ohne Weiteres hervor, aus welchen Gründen die Vorinstanz ein zweijähriges Einreiseverbot erliess (Aufenthalt im Schengen-Raum weit über den bewilligungsfreien Zeitraum hinaus). Die zur Anwendung kommende Rechtsgrundlage (Art. 67 Abs. 2 Bst. a AIG) ist in der Verfügung ebenfalls aufgeführt. Auch ergibt sich implizit aus dem Entscheid, dass das SEM die Fernhaltemassnahme unter Berücksichtigung der einmaligen ausländerrechtlichen Verfehlung als angezeigt betrachtete. Private Interessen wurden überdies anlässlich der Gewährung des rechtlichen Gehörs am 31. Januar 2019 von den Beschwerdeführerinnen nicht geltend gemacht, weshalb der Vorinstanz diesbezüglich nichts vorgeworfen werden kann. Die Beschwerdeführerinnen waren schliesslich auf der Grundlage dieser Begründung durchaus in der Lage, die Verfügung sachgerecht anzufechten. Im Rahmen des Replikrechts konnten sie ihren Standpunkt ferner nochmals erläutern (vgl. dazu auch Vernehmlassung der Vorinstanz vom 8. Mai 2019).</w:t>
      </w:r>
    </w:p>
    <w:p>
      <w:r>
        <w:rPr>
          <w:b/>
        </w:rPr>
        <w:t>E. 4.4</w:t>
      </w:r>
    </w:p>
    <w:p>
      <w:r>
        <w:t>Die Vorinstanz ist zusammenfassend ihrer Begründungspflicht in rechtsgenüglicher Weise nachgekommen. Eine Verletzung des Anspruchs auf rechtliches Gehör liegt demzufolge nicht vor.</w:t>
      </w:r>
    </w:p>
    <w:p>
      <w:r>
        <w:rPr>
          <w:b/>
        </w:rPr>
        <w:t>E. 5.1</w:t>
      </w:r>
    </w:p>
    <w:p>
      <w:r>
        <w:t>Das Einreiseverbot kann gestützt auf Art. 67 Abs. 2 AIG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solches vollständig oder vorüberge-hend aufheben (Abs. 5).</w:t>
      </w:r>
    </w:p>
    <w:p>
      <w:r>
        <w:rPr>
          <w:b/>
        </w:rPr>
        <w:t>E. 5.2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Widerhandlungen gegen Normen des Ausländerrechts fallen dabei ohne weiteres unter diese Begriffsbestimmung und können ein Einreiseverbot nach sich ziehen (vgl. Botschaft, a.a.O., S. 3813). Dabei genügt es, wenn der ausländischen Person eine Sorgfaltspflichtverletzung zugerechnet werden kann.</w:t>
      </w:r>
    </w:p>
    <w:p>
      <w:r>
        <w:rPr>
          <w:b/>
        </w:rPr>
        <w:t>E. 6.1</w:t>
      </w:r>
    </w:p>
    <w:p>
      <w:r>
        <w:t>Die Beschwerdeführerinnen reisten am 6. September 2018 über Rom in den Schengen-Raum. Obwohl ihr bewilligungsfreier Aufenthalt am 4. Dezember 2018 geendet hätte, hielten sie sich weiterhin im Schengengebiet auf und reisten am 31. Januar 2019 rechtswidrig in die Schweiz ein, wo sie schliesslich nach einer Kontrolle am Flughafen Kloten ihren Heimflug antreten konnten (SEM act. 1/9 f.). Damit hatten die Beschwerdeführerinnen bei ihrer Einreise in die Schweiz den bewilligungsfreien Aufenthalt im Schengen-Raum von maximal 90 Tagen innerhalb eines Zeitraums von 180 Tagen um 58 Tage überschritten (vgl. Art. 20 Abs. 1 des Schengener Durchführungsübereinkommens vom 19. Juni 1990 [SDÜ, Abl. L 239/19 vom 22.09.2000] in der Fassung der Verordnung [EU] Nr. 610/2013 des Europäischen Parlaments und des Rates vom 26. Juni 2013 [ABl. L 182/1 vom 29.06.2013], vgl. auch Art. 9 Abs. 1 VZAE).</w:t>
      </w:r>
    </w:p>
    <w:p>
      <w:r>
        <w:rPr>
          <w:b/>
        </w:rPr>
        <w:t>E. 6.2</w:t>
      </w:r>
    </w:p>
    <w:p>
      <w:r>
        <w:t>Gestützt auf diesen Sachverhalt wurden die Beschwerdeführerinnen mit Strafbefehlen vom 21. Juni 2019 und 13. September 2019 des Statthalteramtes Bezirk Bülach wegen rechtswidriger Einreise in die Schweiz nach Ablauf des bewilligungsfreien Aufenthaltes im Schengen-Raum zu einer Busse von je Fr. 180.- verurteilt (zur Bindungswirkung strafrechtlicher Erkenntnisse auf das ausländerrechtliche Administrativverfahren vgl. statt vieler Urteil des BVGer C-5190/2014 vom 25. 09.2015 E. 5.3.1 m.H.).</w:t>
      </w:r>
    </w:p>
    <w:p>
      <w:r>
        <w:rPr>
          <w:b/>
        </w:rPr>
        <w:t>E. 6.3</w:t>
      </w:r>
    </w:p>
    <w:p>
      <w:r>
        <w:t>Die Beschwerdeführerinnen stellen ihr oben dargelegtes Fehlverhalten nicht in Abrede, führen dazu jedoch aus, aufgrund vorübergehender Schwierigkeiten sei es ihnen nicht möglich gewesen, den Schengen-Raum vor Ablauf ihrer Visa (recte: vor Ablauf des bewilligungsfreien Aufenthalts) zu verlassen. Die Beschwerdeführerin 1 habe sich aufgrund gynäkologischer Probleme einer medizinischen Untersuchung unterziehen müssen. Die damit verbundenen Kosten seien im Budget nicht vorgesehen gewesen (Beschwerde Pkt. 15 ff.). Wie bereits das SEM in seiner Vernehmlassung geltend macht, liegt es hingegen grundsätzlich in der Verantwortung der betroffenen Personen, sich vorgängig über die jeweils geltenden Einreise- und Aufenthaltsvoraussetzungen zu informieren und die Reise so zu planen, dass diese zu jeder Zeit erfüllt werden können. Dies gilt in casu umso mehr, als die Beschwerdeführerinnen gemäss einem ärztlichen Bericht vom 11. Juni 2019 wussten, dass die in Amerika durchgeführte medizinische Behandlung der Beschwerdeführerin 1 vom 28. August 2018 eine Nachuntersuchung in Italien erfordern würde und - wie der medizinische Bericht ebenfalls aufzeigt - bereits damals nicht auszuschliessen war, dass noch weitere Behandlungen zu erfolgen hätten (vgl. Beilage zur Replik [BVGer act. 10]). Schliesslich wäre von den Beschwerdeführerinnen zu erwarten gewesen, dass sie sich bei Schwierigkeiten und Unklarheiten im Zusammenhang mit den ausländerrechtlichen Bestimmungen an die dafür zuständige Behörde wenden würden (vgl. bspw. Urteil des BVGer C- 6661/2014 vom 22. Oktober 2015 E. 6.4). Dass eine Kontaktaufnahme mit den entsprechenden Behörden stattgefunden hat, ergibt sich hingegen weder aus den Akten des SEM noch wurde dies im vorliegenden Verfahren geltend gemacht.</w:t>
      </w:r>
    </w:p>
    <w:p>
      <w:r>
        <w:rPr>
          <w:b/>
        </w:rPr>
        <w:t>E. 6.4</w:t>
      </w:r>
    </w:p>
    <w:p>
      <w:r>
        <w:t>Es gilt somit als erstellt, dass die Beschwerdeführerinnen mit ihrem Verhalten gegen die öffentliche Sicherheit und Ordnung im Sinne von Art. 67 Abs. 2 Bst. a AIG verstossen haben, weshalb die Vorinstanz die Fernhaltemassnahme zu Recht verfügte.</w:t>
      </w:r>
    </w:p>
    <w:p>
      <w:r>
        <w:rPr>
          <w:b/>
        </w:rPr>
        <w:t>E. 7.1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Mit dem dargelegten Verhalten der Beschwerdeführerinnen und dem damit verursachten Verstoss gegen die Einreise- und Aufenthaltsbestimmungen wird auf eine Gefährdung der öffentlichen Sicherheit und Ordnung geschlossen. An der Einhaltung der Rechtsordnung im allgemeinen und den Vorschriften über Einreise und Aufenthalt im Besonderen besteht denn auch ein gewichtiges öffentliches Interesse. Zum einen liegt eine spezialpräventive Zielsetzung der Massnahme darin, die Beschwerdeführerinnen zu ermahnen, bei einer allfälligen künftigen Wiedereinreise nach Ablauf des Einreiseverbots die für sie geltenden Regeln einzuhalten. Gewichtig ist aber auch das generalpräventiv motivierte Interesse, die öffentliche Ordnung durch eine konsequente Massnahmenpraxis zu schützen (zur Zulässigkeit der Berücksichtigung generalpräventiver Aspekte in Konstellationen, in denen wie hier kein sogenannter Vertragsausländer betroffen ist, vgl. Urteil des BGer 2C_282/2012 vom 31. Juli 2012 E. 2.5 m.H.).</w:t>
      </w:r>
    </w:p>
    <w:p>
      <w:r>
        <w:rPr>
          <w:b/>
        </w:rPr>
        <w:t>E. 7.3</w:t>
      </w:r>
    </w:p>
    <w:p>
      <w:r>
        <w:t>Die Beschwerdeführerinnen führen diesbezüglich aus, es sei ihnen eine günstige Prognose zu stellen, welche die Aufhebung des Einreiseverbots rechtfertige. Die Befragung anlässlich der Zollkontrolle sei ein einschneidendes Erlebnis gewesen. Auch sei zu beachten, dass sie ihre Situation anlässlich der Befragung hätten regeln wollen. Bei der nächsten Reise würden sie überdies Retourflüge buchen. Schliesslich hätten sie keine Vorstrafen (Beschwerde Pkt. 33 ff.). Dem ist entgegenzusetzen, dass bei der Prognosestellung naturgemäss in erster Linie das vergangene Verhalten der betroffenen Person zu berücksichtigen ist (vgl. Urteile des BVGer F-1152/2018 vom 24. September 2018 E. 4.2 sowie BVGer C-256/2013 vom 16. April 2015 E. 3.2 je m.H.). Dabei kann nicht unberücksichtigt bleiben, dass sich die Beschwerdeführerinnen über einen beachtlichen Zeitraum - ganze 58 Tage - über den bewilligungsfreien Aufenthalt hinaus im Schengen-Raum aufgehalten haben und am 31. Januar 2019 schliesslich rechtswidrig in die Schweiz eingereist sind. Die Vorinstanz hat aus dem von den Beschwerdeführerinnen in jüngster Vergangenheit gezeigten Verhalten deshalb grundsätzlich zu Recht auf ein Risiko weiterer Verstösse gegen die öffentliche Sicherheit und Ordnung geschlossen. Relativiert werden muss die geltend gemachte «günstige Prognose» auch durch den Umstand, dass weder die stabile Situation der Beschwerdeführerinnen in ihrem Heimatland noch ihr behaupteter tadelloser Leumund mittels entsprechenden Beweismitteln belegt wurden. Es sind ferner keine persönlichen Bindungen der Beschwerdeführerinnen zur Schweiz ersichtlich, die im Rahmen einer Interessenwürdigung zu ihren Gunsten angeführt werden könnten. In der Beschwerde wird ausdrücklich darauf verwiesen, dass sämtliche Familienmitglieder und Freunde der beiden Beschwerdeführerinnen - mit Ausnahme einer Schwester der Beschwerdeführerin 1, die sich in China aufhalte - in Amerika leben würden (vgl. Pkt. 12 ebenda).</w:t>
      </w:r>
    </w:p>
    <w:p>
      <w:r>
        <w:rPr>
          <w:b/>
        </w:rPr>
        <w:t>E. 7.4</w:t>
      </w:r>
    </w:p>
    <w:p>
      <w:r>
        <w:t>Aufgrund einer wertenden Gewichtung der sich entgegenstehenden Interessen gelangt das Bundesverwaltungsgericht zum Schluss, dass sich das auf zwei Jahre befristete Einreiseverbot unter Berücksichtigung der gängigen Praxis in vergleichbaren Fällen als verhältnismässig und ange-messen erweist (vgl. etwa Urteile des BVGer F-3163/2017 vom 12. März 2019, F-2341/2018 vom 15. Oktober 2018 und C-847/2013 vom 21. März 2014).</w:t>
      </w:r>
    </w:p>
    <w:p>
      <w:r>
        <w:rPr>
          <w:b/>
        </w:rPr>
        <w:t>E. 8.1</w:t>
      </w:r>
    </w:p>
    <w:p>
      <w:r>
        <w:t>Die Vorinstanz hat mit der angefochtenen Verfügung die Ausschreibung des Einreiseverbots im SIS angeordnet. In der Rechtsmitteleingabe wird dazu geltend gemacht, die Beschwerdeführerinnen hätten sich bereits für einen sechsmonatigen Intensivsprachkurs in Italien angemeldet, um ihre Sprachkenntnisse zu verbessern - einerseits um den Personenkreis von Interessenten für Englischkurse zu vergrössern, andererseits aber auch um Italienischkurse in den USA anbieten zu können (vgl. Pkt. 29 ebenda).</w:t>
      </w:r>
    </w:p>
    <w:p>
      <w:r>
        <w:rPr>
          <w:b/>
        </w:rPr>
        <w:t>E. 8.2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(Art. 24 Ziff. 2 SIS-II-Verordnung). Die Ausschreibung kann auch eingegeben werden, wenn die Entscheidung auf einem Einreiseverbot beruht und wegen Nichtbeachtung der nationalen Vorschriften über die Einreise und den Aufenthalt von Drittstaatsangehörigen erfolgt (Art. 24 Ziff. 3 SIS-II-Verordnung). In Anbetracht des von den Beschwerdeführerinnen (beides Drittstaatsangehörige) begangenen Verstosses gegen zentrale Bestimmungen der migrationsrechtlichen Ordnung, liegt die Ausschreibung des Einreiseverbots im zwingenden gemeinsamen Interesse der Schweiz und der übrigen Schengen-Staaten. Die Beschwerdeführerinnen haben die damit einhergehende Einschränkung ihrer persönlichen Bewegungsfreiheit in Kauf zu nehmen. Die vorgebrachten «beruflichen» Einschränkungen sind überdies zu relativieren, ist ihnen der Besuch eines Italienischkurses doch auch in ihrem Heimatland möglich. Die demgegenüber geltend gemachten Vorteile bezüglich eines Sprachaufenthalts in Italien (vgl. dazu Replik vom 13. Juni 2019) vermögen daran nichts zu ändern. Die Ausschreibung im SIS ist somit nicht zu beanstanden.</w:t>
      </w:r>
    </w:p>
    <w:p>
      <w:r>
        <w:rPr>
          <w:b/>
        </w:rPr>
        <w:t>E. 9</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10</w:t>
      </w:r>
    </w:p>
    <w:p>
      <w:r>
        <w:t>Entsprechend dem Ausgang des Verfahrens sind den Beschwerdeführer-innen die Verfahrenskosten aufzuerlegen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